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DC6DB" w14:textId="356B829F" w:rsidR="005F6E84" w:rsidRPr="00CF6EC5" w:rsidRDefault="005F6E84" w:rsidP="005F6E84">
      <w:pPr>
        <w:widowControl w:val="0"/>
        <w:tabs>
          <w:tab w:val="right" w:pos="8505"/>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sidRPr="007604F2">
        <w:rPr>
          <w:rFonts w:ascii="Arial" w:hAnsi="Arial" w:cs="Arial"/>
          <w:b/>
          <w:bCs/>
          <w:noProof/>
          <w:sz w:val="24"/>
          <w:szCs w:val="24"/>
        </w:rPr>
        <w:t>3GPP TSG RAN WG1 Meeting #</w:t>
      </w:r>
      <w:r>
        <w:rPr>
          <w:rFonts w:ascii="Arial" w:eastAsia="MS Mincho" w:hAnsi="Arial" w:cs="Arial"/>
          <w:b/>
          <w:bCs/>
          <w:noProof/>
          <w:sz w:val="24"/>
          <w:szCs w:val="24"/>
          <w:lang w:eastAsia="ja-JP"/>
        </w:rPr>
        <w:t>90</w:t>
      </w:r>
      <w:r w:rsidR="00F84766">
        <w:rPr>
          <w:rFonts w:ascii="Arial" w:eastAsia="MS Mincho" w:hAnsi="Arial" w:cs="Arial"/>
          <w:b/>
          <w:bCs/>
          <w:noProof/>
          <w:sz w:val="24"/>
          <w:szCs w:val="24"/>
          <w:lang w:eastAsia="ja-JP"/>
        </w:rPr>
        <w:t>bis</w:t>
      </w:r>
      <w:r>
        <w:rPr>
          <w:rFonts w:ascii="Arial" w:eastAsia="MS Mincho" w:hAnsi="Arial" w:cs="Arial"/>
          <w:b/>
          <w:bCs/>
          <w:noProof/>
          <w:sz w:val="24"/>
          <w:szCs w:val="24"/>
          <w:lang w:eastAsia="ja-JP"/>
        </w:rPr>
        <w:tab/>
        <w:t xml:space="preserve">       </w:t>
      </w:r>
      <w:r>
        <w:rPr>
          <w:rFonts w:ascii="Arial" w:eastAsia="MS Mincho" w:hAnsi="Arial" w:cs="Arial"/>
          <w:b/>
          <w:bCs/>
          <w:noProof/>
          <w:sz w:val="24"/>
          <w:szCs w:val="24"/>
          <w:lang w:eastAsia="ja-JP"/>
        </w:rPr>
        <w:tab/>
      </w:r>
      <w:r w:rsidRPr="00CF6EC5">
        <w:rPr>
          <w:rFonts w:ascii="Arial" w:hAnsi="Arial" w:cs="Arial"/>
          <w:b/>
          <w:bCs/>
          <w:noProof/>
          <w:sz w:val="24"/>
          <w:szCs w:val="24"/>
        </w:rPr>
        <w:t>R1-</w:t>
      </w:r>
      <w:r w:rsidR="00773E84" w:rsidRPr="00CF6EC5">
        <w:rPr>
          <w:rFonts w:ascii="Arial" w:hAnsi="Arial" w:cs="Arial"/>
          <w:b/>
          <w:bCs/>
          <w:noProof/>
          <w:sz w:val="24"/>
          <w:szCs w:val="24"/>
        </w:rPr>
        <w:t>1717734</w:t>
      </w:r>
    </w:p>
    <w:p w14:paraId="52CC0AE0" w14:textId="2CE66B38" w:rsidR="007604F2" w:rsidRDefault="005F6E84" w:rsidP="005F6E84">
      <w:pPr>
        <w:pStyle w:val="TdocHeader2"/>
        <w:jc w:val="left"/>
        <w:rPr>
          <w:rFonts w:cs="Arial"/>
          <w:bCs/>
          <w:noProof/>
          <w:sz w:val="24"/>
          <w:szCs w:val="24"/>
        </w:rPr>
      </w:pPr>
      <w:r w:rsidRPr="00CF6EC5">
        <w:rPr>
          <w:rFonts w:cs="Arial"/>
          <w:bCs/>
          <w:noProof/>
          <w:sz w:val="24"/>
          <w:szCs w:val="24"/>
        </w:rPr>
        <w:t xml:space="preserve">Prague, Czech Republic, </w:t>
      </w:r>
      <w:r w:rsidR="00F84766" w:rsidRPr="00CF6EC5">
        <w:rPr>
          <w:rFonts w:cs="Arial"/>
          <w:bCs/>
          <w:noProof/>
          <w:sz w:val="24"/>
          <w:szCs w:val="24"/>
        </w:rPr>
        <w:t>9</w:t>
      </w:r>
      <w:r w:rsidR="00F84766" w:rsidRPr="00CF6EC5">
        <w:rPr>
          <w:rFonts w:cs="Arial"/>
          <w:bCs/>
          <w:noProof/>
          <w:sz w:val="24"/>
          <w:szCs w:val="24"/>
          <w:vertAlign w:val="superscript"/>
        </w:rPr>
        <w:t>th</w:t>
      </w:r>
      <w:r w:rsidR="00F84766" w:rsidRPr="00CF6EC5">
        <w:rPr>
          <w:rFonts w:cs="Arial"/>
          <w:bCs/>
          <w:noProof/>
          <w:sz w:val="24"/>
          <w:szCs w:val="24"/>
        </w:rPr>
        <w:t xml:space="preserve"> –</w:t>
      </w:r>
      <w:r w:rsidRPr="00CF6EC5">
        <w:rPr>
          <w:rFonts w:cs="Arial"/>
          <w:bCs/>
          <w:noProof/>
          <w:sz w:val="24"/>
          <w:szCs w:val="24"/>
        </w:rPr>
        <w:t xml:space="preserve"> </w:t>
      </w:r>
      <w:r w:rsidR="00F84766" w:rsidRPr="00CF6EC5">
        <w:rPr>
          <w:rFonts w:cs="Arial"/>
          <w:bCs/>
          <w:noProof/>
          <w:sz w:val="24"/>
          <w:szCs w:val="24"/>
        </w:rPr>
        <w:t>13</w:t>
      </w:r>
      <w:r w:rsidR="00F84766" w:rsidRPr="00CF6EC5">
        <w:rPr>
          <w:rFonts w:cs="Arial"/>
          <w:bCs/>
          <w:noProof/>
          <w:sz w:val="24"/>
          <w:szCs w:val="24"/>
          <w:vertAlign w:val="superscript"/>
        </w:rPr>
        <w:t>th</w:t>
      </w:r>
      <w:r w:rsidR="00F84766" w:rsidRPr="00CF6EC5" w:rsidDel="00F84766">
        <w:rPr>
          <w:rFonts w:cs="Arial"/>
          <w:bCs/>
          <w:noProof/>
          <w:sz w:val="24"/>
          <w:szCs w:val="24"/>
        </w:rPr>
        <w:t xml:space="preserve"> </w:t>
      </w:r>
      <w:r w:rsidR="00C25D21">
        <w:rPr>
          <w:rFonts w:cs="Arial"/>
          <w:bCs/>
          <w:noProof/>
          <w:sz w:val="24"/>
          <w:szCs w:val="24"/>
        </w:rPr>
        <w:t>October</w:t>
      </w:r>
      <w:r w:rsidR="00C25D21" w:rsidRPr="00CF6EC5">
        <w:rPr>
          <w:rFonts w:cs="Arial"/>
          <w:bCs/>
          <w:noProof/>
          <w:sz w:val="24"/>
          <w:szCs w:val="24"/>
        </w:rPr>
        <w:t xml:space="preserve"> </w:t>
      </w:r>
      <w:r w:rsidRPr="00CF6EC5">
        <w:rPr>
          <w:rFonts w:cs="Arial"/>
          <w:bCs/>
          <w:noProof/>
          <w:sz w:val="24"/>
          <w:szCs w:val="24"/>
        </w:rPr>
        <w:t>2017</w:t>
      </w:r>
    </w:p>
    <w:p w14:paraId="343AB265" w14:textId="77777777" w:rsidR="005F6E84" w:rsidRDefault="005F6E84" w:rsidP="005F6E84">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542FAB56"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C4333D">
        <w:rPr>
          <w:sz w:val="22"/>
          <w:szCs w:val="22"/>
          <w:lang w:val="en-US"/>
        </w:rPr>
        <w:t>Transmit diversity solutions for Rel-15 PSCCH and PSSCH transmissions</w:t>
      </w:r>
    </w:p>
    <w:p w14:paraId="39122C3D" w14:textId="6D223FA3" w:rsidR="007736B9" w:rsidRPr="00C844BE" w:rsidRDefault="007736B9" w:rsidP="007736B9">
      <w:pPr>
        <w:pStyle w:val="TdocHeader2"/>
        <w:jc w:val="left"/>
        <w:rPr>
          <w:sz w:val="22"/>
          <w:szCs w:val="22"/>
          <w:lang w:val="en-US"/>
        </w:rPr>
      </w:pPr>
      <w:bookmarkStart w:id="4" w:name="_Ref477771975"/>
      <w:bookmarkEnd w:id="0"/>
      <w:bookmarkEnd w:id="1"/>
      <w:r w:rsidRPr="00C844BE">
        <w:rPr>
          <w:sz w:val="22"/>
          <w:szCs w:val="22"/>
          <w:lang w:val="en-US"/>
        </w:rPr>
        <w:t>Agenda Item:</w:t>
      </w:r>
      <w:r w:rsidRPr="00C844BE">
        <w:rPr>
          <w:sz w:val="22"/>
          <w:szCs w:val="22"/>
          <w:lang w:val="en-US"/>
        </w:rPr>
        <w:tab/>
      </w:r>
      <w:r w:rsidR="00325C81">
        <w:rPr>
          <w:sz w:val="22"/>
          <w:szCs w:val="22"/>
          <w:lang w:val="en-US"/>
        </w:rPr>
        <w:t>6</w:t>
      </w:r>
      <w:r w:rsidR="005F6E84" w:rsidRPr="005F6E84">
        <w:rPr>
          <w:sz w:val="22"/>
          <w:szCs w:val="22"/>
          <w:lang w:val="en-US"/>
        </w:rPr>
        <w:t>.2.3.3.1</w:t>
      </w:r>
      <w:r w:rsidR="005F6E84">
        <w:t xml:space="preserve"> </w:t>
      </w:r>
    </w:p>
    <w:p w14:paraId="0937EC4A" w14:textId="77777777" w:rsidR="007736B9" w:rsidRPr="001E25A7" w:rsidRDefault="007736B9" w:rsidP="007736B9">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p w14:paraId="275415A3" w14:textId="77777777" w:rsidR="00D77223" w:rsidRDefault="00D77223" w:rsidP="008A63F4">
      <w:pPr>
        <w:pStyle w:val="Heading1"/>
      </w:pPr>
      <w:r w:rsidRPr="007F1723">
        <w:t>Introduction</w:t>
      </w:r>
      <w:bookmarkEnd w:id="4"/>
    </w:p>
    <w:p w14:paraId="73BA8DC2" w14:textId="55AD32DD" w:rsidR="004F6116" w:rsidRPr="00941D99" w:rsidRDefault="004F6116" w:rsidP="004F6116">
      <w:pPr>
        <w:pStyle w:val="BodyText"/>
        <w:spacing w:after="240"/>
        <w:jc w:val="both"/>
        <w:rPr>
          <w:sz w:val="20"/>
          <w:szCs w:val="20"/>
        </w:rPr>
      </w:pPr>
      <w:r w:rsidRPr="00C70D8A">
        <w:rPr>
          <w:sz w:val="20"/>
          <w:szCs w:val="20"/>
        </w:rPr>
        <w:t xml:space="preserve">RAN </w:t>
      </w:r>
      <w:r>
        <w:rPr>
          <w:sz w:val="20"/>
          <w:szCs w:val="20"/>
        </w:rPr>
        <w:t xml:space="preserve">plenary </w:t>
      </w:r>
      <w:r w:rsidRPr="00C70D8A">
        <w:rPr>
          <w:sz w:val="20"/>
          <w:szCs w:val="20"/>
        </w:rPr>
        <w:t>#</w:t>
      </w:r>
      <w:r>
        <w:rPr>
          <w:sz w:val="20"/>
          <w:szCs w:val="20"/>
        </w:rPr>
        <w:t>75</w:t>
      </w:r>
      <w:r w:rsidRPr="00C70D8A">
        <w:rPr>
          <w:sz w:val="20"/>
          <w:szCs w:val="20"/>
        </w:rPr>
        <w:t xml:space="preserve"> </w:t>
      </w:r>
      <w:r>
        <w:rPr>
          <w:sz w:val="20"/>
          <w:szCs w:val="20"/>
        </w:rPr>
        <w:t xml:space="preserve">approved a work item </w:t>
      </w:r>
      <w:r w:rsidR="00467871">
        <w:rPr>
          <w:sz w:val="20"/>
          <w:szCs w:val="20"/>
        </w:rPr>
        <w:fldChar w:fldCharType="begin"/>
      </w:r>
      <w:r w:rsidR="00467871">
        <w:rPr>
          <w:sz w:val="20"/>
          <w:szCs w:val="20"/>
        </w:rPr>
        <w:instrText xml:space="preserve"> REF _Ref494462036 \r \h </w:instrText>
      </w:r>
      <w:r w:rsidR="00467871">
        <w:rPr>
          <w:sz w:val="20"/>
          <w:szCs w:val="20"/>
        </w:rPr>
      </w:r>
      <w:r w:rsidR="00467871">
        <w:rPr>
          <w:sz w:val="20"/>
          <w:szCs w:val="20"/>
        </w:rPr>
        <w:fldChar w:fldCharType="separate"/>
      </w:r>
      <w:r w:rsidR="00467871">
        <w:rPr>
          <w:sz w:val="20"/>
          <w:szCs w:val="20"/>
        </w:rPr>
        <w:t>[1]</w:t>
      </w:r>
      <w:r w:rsidR="00467871">
        <w:rPr>
          <w:sz w:val="20"/>
          <w:szCs w:val="20"/>
        </w:rPr>
        <w:fldChar w:fldCharType="end"/>
      </w:r>
      <w:r>
        <w:rPr>
          <w:sz w:val="20"/>
          <w:szCs w:val="20"/>
        </w:rPr>
        <w:t xml:space="preserve"> for </w:t>
      </w:r>
      <w:r w:rsidRPr="00941D99">
        <w:rPr>
          <w:rFonts w:hint="eastAsia"/>
          <w:sz w:val="20"/>
          <w:szCs w:val="20"/>
        </w:rPr>
        <w:t>3GPP</w:t>
      </w:r>
      <w:r w:rsidRPr="00941D99">
        <w:rPr>
          <w:sz w:val="20"/>
          <w:szCs w:val="20"/>
        </w:rPr>
        <w:t xml:space="preserve"> V2X Phase 2 to support advanced V2X services</w:t>
      </w:r>
      <w:r w:rsidRPr="00941D99">
        <w:rPr>
          <w:rFonts w:hint="eastAsia"/>
          <w:sz w:val="20"/>
          <w:szCs w:val="20"/>
        </w:rPr>
        <w:t xml:space="preserve"> as identified in SA1 TR 22.886.</w:t>
      </w:r>
      <w:r>
        <w:rPr>
          <w:sz w:val="20"/>
          <w:szCs w:val="20"/>
        </w:rPr>
        <w:t xml:space="preserve"> The following topic is a part of the </w:t>
      </w:r>
      <w:r w:rsidRPr="00941D99">
        <w:rPr>
          <w:sz w:val="20"/>
          <w:szCs w:val="20"/>
        </w:rPr>
        <w:t xml:space="preserve">detailed objectives </w:t>
      </w:r>
      <w:r w:rsidRPr="00941D99">
        <w:rPr>
          <w:rFonts w:hint="eastAsia"/>
          <w:sz w:val="20"/>
          <w:szCs w:val="20"/>
        </w:rPr>
        <w:t>of this work item</w:t>
      </w:r>
      <w:r w:rsidRPr="00941D99">
        <w:rPr>
          <w:sz w:val="20"/>
          <w:szCs w:val="20"/>
        </w:rPr>
        <w:t>:</w:t>
      </w:r>
    </w:p>
    <w:p w14:paraId="76EF5B23" w14:textId="5CF60D53" w:rsidR="004F6116" w:rsidRDefault="004F6116" w:rsidP="00CC2D84">
      <w:pPr>
        <w:pStyle w:val="ListParagraph"/>
        <w:numPr>
          <w:ilvl w:val="0"/>
          <w:numId w:val="11"/>
        </w:numPr>
        <w:overflowPunct w:val="0"/>
        <w:autoSpaceDE w:val="0"/>
        <w:autoSpaceDN w:val="0"/>
        <w:jc w:val="both"/>
        <w:rPr>
          <w:rFonts w:ascii="Times New Roman" w:hAnsi="Times New Roman" w:cs="Times New Roman"/>
          <w:i/>
          <w:sz w:val="20"/>
          <w:szCs w:val="20"/>
          <w:lang w:eastAsia="en-US"/>
        </w:rPr>
      </w:pPr>
      <w:r w:rsidRPr="002A3D45">
        <w:rPr>
          <w:rFonts w:ascii="Times New Roman" w:hAnsi="Times New Roman" w:cs="Times New Roman" w:hint="eastAsia"/>
          <w:i/>
          <w:sz w:val="20"/>
          <w:szCs w:val="20"/>
          <w:lang w:eastAsia="en-US"/>
        </w:rPr>
        <w:t>Study the</w:t>
      </w:r>
      <w:r w:rsidRPr="002A3D45">
        <w:rPr>
          <w:rFonts w:ascii="Times New Roman" w:hAnsi="Times New Roman" w:cs="Times New Roman"/>
          <w:i/>
          <w:sz w:val="20"/>
          <w:szCs w:val="20"/>
          <w:lang w:eastAsia="en-US"/>
        </w:rPr>
        <w:t xml:space="preserve"> feasibility and gain of </w:t>
      </w:r>
      <w:r w:rsidRPr="002A3D45">
        <w:rPr>
          <w:rFonts w:ascii="Times New Roman" w:hAnsi="Times New Roman" w:cs="Times New Roman" w:hint="eastAsia"/>
          <w:i/>
          <w:sz w:val="20"/>
          <w:szCs w:val="20"/>
          <w:lang w:eastAsia="en-US"/>
        </w:rPr>
        <w:t>PC5 operation with Transmit</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D</w:t>
      </w:r>
      <w:r w:rsidRPr="002A3D45">
        <w:rPr>
          <w:rFonts w:ascii="Times New Roman" w:hAnsi="Times New Roman" w:cs="Times New Roman"/>
          <w:i/>
          <w:sz w:val="20"/>
          <w:szCs w:val="20"/>
          <w:lang w:eastAsia="en-US"/>
        </w:rPr>
        <w:t>iversity</w:t>
      </w:r>
      <w:r w:rsidRPr="002A3D45">
        <w:rPr>
          <w:rFonts w:ascii="Times New Roman" w:hAnsi="Times New Roman" w:cs="Times New Roman" w:hint="eastAsia"/>
          <w:i/>
          <w:sz w:val="20"/>
          <w:szCs w:val="20"/>
          <w:lang w:eastAsia="en-US"/>
        </w:rPr>
        <w:t>,</w:t>
      </w:r>
      <w:r w:rsidRPr="002A3D45">
        <w:rPr>
          <w:rFonts w:ascii="Times New Roman" w:hAnsi="Times New Roman" w:cs="Times New Roman"/>
          <w:i/>
          <w:sz w:val="20"/>
          <w:szCs w:val="20"/>
          <w:lang w:eastAsia="en-US"/>
        </w:rPr>
        <w:t xml:space="preserve"> assuming </w:t>
      </w:r>
      <w:r w:rsidRPr="002A3D45">
        <w:rPr>
          <w:rFonts w:ascii="Times New Roman" w:hAnsi="Times New Roman" w:cs="Times New Roman" w:hint="eastAsia"/>
          <w:i/>
          <w:sz w:val="20"/>
          <w:szCs w:val="20"/>
          <w:lang w:eastAsia="en-US"/>
        </w:rPr>
        <w:t xml:space="preserve">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w:t>
      </w:r>
      <w:r w:rsidRPr="002A3D45">
        <w:rPr>
          <w:rFonts w:ascii="Times New Roman" w:hAnsi="Times New Roman" w:cs="Times New Roman"/>
          <w:i/>
          <w:sz w:val="20"/>
          <w:szCs w:val="20"/>
          <w:lang w:eastAsia="en-US"/>
        </w:rPr>
        <w:t xml:space="preserve"> would co-exist in the same resource pools as Rel-14 functionality</w:t>
      </w:r>
      <w:r w:rsidRPr="002A3D45">
        <w:rPr>
          <w:rFonts w:ascii="Times New Roman" w:hAnsi="Times New Roman" w:cs="Times New Roman" w:hint="eastAsia"/>
          <w:i/>
          <w:sz w:val="20"/>
          <w:szCs w:val="20"/>
          <w:lang w:eastAsia="en-US"/>
        </w:rPr>
        <w:t xml:space="preserve"> and </w:t>
      </w:r>
      <w:r w:rsidRPr="002A3D45">
        <w:rPr>
          <w:rFonts w:ascii="Times New Roman" w:hAnsi="Times New Roman" w:cs="Times New Roman"/>
          <w:i/>
          <w:sz w:val="20"/>
          <w:szCs w:val="20"/>
          <w:lang w:eastAsia="en-US"/>
        </w:rPr>
        <w:t>us</w:t>
      </w:r>
      <w:r w:rsidRPr="002A3D45">
        <w:rPr>
          <w:rFonts w:ascii="Times New Roman" w:hAnsi="Times New Roman" w:cs="Times New Roman" w:hint="eastAsia"/>
          <w:i/>
          <w:sz w:val="20"/>
          <w:szCs w:val="20"/>
          <w:lang w:eastAsia="en-US"/>
        </w:rPr>
        <w:t>e</w:t>
      </w:r>
      <w:r w:rsidRPr="002A3D45">
        <w:rPr>
          <w:rFonts w:ascii="Times New Roman" w:hAnsi="Times New Roman" w:cs="Times New Roman"/>
          <w:i/>
          <w:sz w:val="20"/>
          <w:szCs w:val="20"/>
          <w:lang w:eastAsia="en-US"/>
        </w:rPr>
        <w:t xml:space="preserve"> the same scheduling assignment format</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which can be decoded by Rel-14 UEs</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without causing significant degradation to Rel-14 PC5 operation</w:t>
      </w:r>
      <w:r w:rsidRPr="002A3D45">
        <w:rPr>
          <w:rFonts w:ascii="Times New Roman" w:hAnsi="Times New Roman" w:cs="Times New Roman" w:hint="eastAsia"/>
          <w:i/>
          <w:sz w:val="20"/>
          <w:szCs w:val="20"/>
          <w:lang w:eastAsia="en-US"/>
        </w:rPr>
        <w:t xml:space="preserve"> compared to that of Rel-14 UEs, and specify 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 if justified. [</w:t>
      </w:r>
      <w:r w:rsidRPr="002A3D45">
        <w:rPr>
          <w:rFonts w:ascii="Times New Roman" w:hAnsi="Times New Roman" w:cs="Times New Roman"/>
          <w:i/>
          <w:sz w:val="20"/>
          <w:szCs w:val="20"/>
          <w:lang w:eastAsia="en-US"/>
        </w:rPr>
        <w:t>RAN</w:t>
      </w:r>
      <w:r w:rsidRPr="002A3D45">
        <w:rPr>
          <w:rFonts w:ascii="Times New Roman" w:hAnsi="Times New Roman" w:cs="Times New Roman" w:hint="eastAsia"/>
          <w:i/>
          <w:sz w:val="20"/>
          <w:szCs w:val="20"/>
          <w:lang w:eastAsia="en-US"/>
        </w:rPr>
        <w:t>1</w:t>
      </w:r>
      <w:r w:rsidRPr="002A3D45">
        <w:rPr>
          <w:rFonts w:ascii="Times New Roman" w:hAnsi="Times New Roman" w:cs="Times New Roman"/>
          <w:i/>
          <w:sz w:val="20"/>
          <w:szCs w:val="20"/>
          <w:lang w:eastAsia="en-US"/>
        </w:rPr>
        <w:t>, RAN</w:t>
      </w:r>
      <w:r w:rsidRPr="002A3D45">
        <w:rPr>
          <w:rFonts w:ascii="Times New Roman" w:hAnsi="Times New Roman" w:cs="Times New Roman" w:hint="eastAsia"/>
          <w:i/>
          <w:sz w:val="20"/>
          <w:szCs w:val="20"/>
          <w:lang w:eastAsia="en-US"/>
        </w:rPr>
        <w:t>2</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RAN4]</w:t>
      </w:r>
    </w:p>
    <w:p w14:paraId="666A21B6" w14:textId="77777777" w:rsidR="002A3D45" w:rsidRPr="002A3D45" w:rsidRDefault="002A3D45" w:rsidP="002A3D45">
      <w:pPr>
        <w:pStyle w:val="ListParagraph"/>
        <w:overflowPunct w:val="0"/>
        <w:autoSpaceDE w:val="0"/>
        <w:autoSpaceDN w:val="0"/>
        <w:ind w:left="780"/>
        <w:jc w:val="both"/>
        <w:rPr>
          <w:rFonts w:ascii="Times New Roman" w:hAnsi="Times New Roman" w:cs="Times New Roman"/>
          <w:i/>
          <w:sz w:val="20"/>
          <w:szCs w:val="20"/>
          <w:lang w:eastAsia="en-US"/>
        </w:rPr>
      </w:pPr>
    </w:p>
    <w:p w14:paraId="536544F2" w14:textId="53079755" w:rsidR="002A3D45" w:rsidRDefault="002A3D45" w:rsidP="002A3D45">
      <w:pPr>
        <w:ind w:left="420"/>
        <w:jc w:val="both"/>
        <w:rPr>
          <w:i/>
        </w:rPr>
      </w:pPr>
      <w:r w:rsidRPr="002A3D45">
        <w:rPr>
          <w:i/>
        </w:rPr>
        <w:t>I</w:t>
      </w:r>
      <w:r w:rsidRPr="002A3D45">
        <w:rPr>
          <w:rFonts w:hint="eastAsia"/>
          <w:i/>
        </w:rPr>
        <w:t>n this work item, no new</w:t>
      </w:r>
      <w:r w:rsidRPr="002A3D45">
        <w:rPr>
          <w:i/>
        </w:rPr>
        <w:t xml:space="preserve"> numerology</w:t>
      </w:r>
      <w:r w:rsidRPr="002A3D45">
        <w:rPr>
          <w:rFonts w:hint="eastAsia"/>
          <w:i/>
        </w:rPr>
        <w:t>,</w:t>
      </w:r>
      <w:r w:rsidRPr="002A3D45">
        <w:rPr>
          <w:i/>
        </w:rPr>
        <w:t xml:space="preserve"> waveform, </w:t>
      </w:r>
      <w:r w:rsidRPr="002A3D45">
        <w:rPr>
          <w:rFonts w:hint="eastAsia"/>
          <w:i/>
        </w:rPr>
        <w:t xml:space="preserve">and </w:t>
      </w:r>
      <w:r w:rsidRPr="002A3D45">
        <w:rPr>
          <w:i/>
        </w:rPr>
        <w:t>channel coding</w:t>
      </w:r>
      <w:r w:rsidRPr="002A3D45">
        <w:rPr>
          <w:rFonts w:hint="eastAsia"/>
          <w:i/>
        </w:rPr>
        <w:t xml:space="preserve"> will be considered.</w:t>
      </w:r>
    </w:p>
    <w:p w14:paraId="7DEE223F" w14:textId="62D4662A" w:rsidR="002A2A4E" w:rsidRDefault="002A2A4E" w:rsidP="002D7FD1">
      <w:pPr>
        <w:jc w:val="both"/>
        <w:rPr>
          <w:rFonts w:eastAsia="MS Mincho"/>
          <w:lang w:val="en-US" w:eastAsia="ja-JP"/>
        </w:rPr>
      </w:pPr>
      <w:r>
        <w:rPr>
          <w:lang w:val="en-US"/>
        </w:rPr>
        <w:t xml:space="preserve">Then, in </w:t>
      </w:r>
      <w:r>
        <w:rPr>
          <w:rFonts w:eastAsia="MS Mincho"/>
          <w:lang w:val="en-US" w:eastAsia="ja-JP"/>
        </w:rPr>
        <w:t>RAN1#88bis, transmit diversity was discussed and candidate TxD schemes for PSSCH and PSCCH transmissions were agreed as follows</w:t>
      </w:r>
      <w:r w:rsidR="000407EF">
        <w:rPr>
          <w:rFonts w:eastAsia="MS Mincho"/>
          <w:lang w:val="en-US" w:eastAsia="ja-JP"/>
        </w:rPr>
        <w:t xml:space="preserve"> </w:t>
      </w:r>
      <w:r w:rsidR="00765B77">
        <w:rPr>
          <w:rFonts w:eastAsia="MS Mincho"/>
          <w:lang w:val="en-US" w:eastAsia="ja-JP"/>
        </w:rPr>
        <w:fldChar w:fldCharType="begin"/>
      </w:r>
      <w:r w:rsidR="00765B77">
        <w:rPr>
          <w:rFonts w:eastAsia="MS Mincho"/>
          <w:lang w:val="en-US" w:eastAsia="ja-JP"/>
        </w:rPr>
        <w:instrText xml:space="preserve"> REF _Ref494460687 \r \h </w:instrText>
      </w:r>
      <w:r w:rsidR="00765B77">
        <w:rPr>
          <w:rFonts w:eastAsia="MS Mincho"/>
          <w:lang w:val="en-US" w:eastAsia="ja-JP"/>
        </w:rPr>
      </w:r>
      <w:r w:rsidR="00765B77">
        <w:rPr>
          <w:rFonts w:eastAsia="MS Mincho"/>
          <w:lang w:val="en-US" w:eastAsia="ja-JP"/>
        </w:rPr>
        <w:fldChar w:fldCharType="separate"/>
      </w:r>
      <w:r w:rsidR="00467871">
        <w:rPr>
          <w:rFonts w:eastAsia="MS Mincho"/>
          <w:lang w:val="en-US" w:eastAsia="ja-JP"/>
        </w:rPr>
        <w:t>[2]</w:t>
      </w:r>
      <w:r w:rsidR="00765B77">
        <w:rPr>
          <w:rFonts w:eastAsia="MS Mincho"/>
          <w:lang w:val="en-US" w:eastAsia="ja-JP"/>
        </w:rPr>
        <w:fldChar w:fldCharType="end"/>
      </w:r>
      <w:r w:rsidRPr="00A17A98">
        <w:rPr>
          <w:rFonts w:eastAsia="MS Mincho"/>
          <w:lang w:val="en-US" w:eastAsia="ja-JP"/>
        </w:rPr>
        <w:t>.</w:t>
      </w:r>
    </w:p>
    <w:p w14:paraId="45DC45BB" w14:textId="77777777" w:rsidR="002A2A4E" w:rsidRDefault="002A2A4E" w:rsidP="002A2A4E">
      <w:pPr>
        <w:rPr>
          <w:rFonts w:eastAsia="MS Mincho"/>
          <w:iCs/>
          <w:lang w:eastAsia="ja-JP"/>
        </w:rPr>
      </w:pPr>
      <w:r w:rsidRPr="00565D70">
        <w:rPr>
          <w:rFonts w:eastAsia="MS Mincho"/>
          <w:iCs/>
          <w:highlight w:val="green"/>
          <w:lang w:eastAsia="ja-JP"/>
        </w:rPr>
        <w:t>Agreement:</w:t>
      </w:r>
    </w:p>
    <w:p w14:paraId="2E6BDF17" w14:textId="77777777" w:rsidR="002A2A4E" w:rsidRPr="00DE2681" w:rsidRDefault="002A2A4E" w:rsidP="00CC2D84">
      <w:pPr>
        <w:numPr>
          <w:ilvl w:val="0"/>
          <w:numId w:val="13"/>
        </w:numPr>
        <w:spacing w:after="0"/>
        <w:rPr>
          <w:rFonts w:eastAsia="MS Mincho"/>
          <w:iCs/>
          <w:lang w:val="en-US" w:eastAsia="ja-JP"/>
        </w:rPr>
      </w:pPr>
      <w:r>
        <w:rPr>
          <w:rFonts w:eastAsia="MS Mincho"/>
          <w:iCs/>
          <w:lang w:val="en-US" w:eastAsia="ja-JP"/>
        </w:rPr>
        <w:t>At least the following c</w:t>
      </w:r>
      <w:r w:rsidRPr="00DE2681">
        <w:rPr>
          <w:rFonts w:eastAsia="MS Mincho"/>
          <w:iCs/>
          <w:lang w:val="en-US" w:eastAsia="ja-JP"/>
        </w:rPr>
        <w:t xml:space="preserve">andidate TxD schemes </w:t>
      </w:r>
      <w:r>
        <w:rPr>
          <w:rFonts w:eastAsia="MS Mincho"/>
          <w:iCs/>
          <w:lang w:val="en-US" w:eastAsia="ja-JP"/>
        </w:rPr>
        <w:t>for</w:t>
      </w:r>
      <w:r w:rsidRPr="00DE2681">
        <w:rPr>
          <w:rFonts w:eastAsia="MS Mincho"/>
          <w:iCs/>
          <w:lang w:val="en-US" w:eastAsia="ja-JP"/>
        </w:rPr>
        <w:t xml:space="preserve"> PSSCH transmission to be evaluated</w:t>
      </w:r>
      <w:r>
        <w:rPr>
          <w:rFonts w:eastAsia="MS Mincho"/>
          <w:iCs/>
          <w:lang w:val="en-US" w:eastAsia="ja-JP"/>
        </w:rPr>
        <w:t>:</w:t>
      </w:r>
    </w:p>
    <w:p w14:paraId="7B5A4C1E" w14:textId="77777777" w:rsidR="002A2A4E" w:rsidRPr="00DE2681" w:rsidRDefault="002A2A4E" w:rsidP="00CC2D84">
      <w:pPr>
        <w:numPr>
          <w:ilvl w:val="1"/>
          <w:numId w:val="13"/>
        </w:numPr>
        <w:spacing w:after="0"/>
        <w:rPr>
          <w:rFonts w:eastAsia="MS Mincho"/>
          <w:iCs/>
          <w:lang w:val="en-US" w:eastAsia="ja-JP"/>
        </w:rPr>
      </w:pPr>
      <w:r w:rsidRPr="00DE2681">
        <w:rPr>
          <w:rFonts w:eastAsia="MS Mincho"/>
          <w:iCs/>
          <w:lang w:val="en-US" w:eastAsia="ja-JP"/>
        </w:rPr>
        <w:t>Small delay CDD</w:t>
      </w:r>
    </w:p>
    <w:p w14:paraId="52272823" w14:textId="77777777" w:rsidR="002A2A4E" w:rsidRPr="00DE2681" w:rsidRDefault="002A2A4E" w:rsidP="00CC2D84">
      <w:pPr>
        <w:numPr>
          <w:ilvl w:val="1"/>
          <w:numId w:val="13"/>
        </w:numPr>
        <w:spacing w:after="0"/>
        <w:rPr>
          <w:rFonts w:eastAsia="MS Mincho"/>
          <w:iCs/>
          <w:lang w:val="en-US" w:eastAsia="ja-JP"/>
        </w:rPr>
      </w:pPr>
      <w:r w:rsidRPr="00DE2681">
        <w:rPr>
          <w:rFonts w:eastAsia="MS Mincho"/>
          <w:iCs/>
          <w:lang w:val="en-US" w:eastAsia="ja-JP"/>
        </w:rPr>
        <w:t>STBC</w:t>
      </w:r>
      <w:r>
        <w:rPr>
          <w:rFonts w:eastAsia="MS Mincho"/>
          <w:iCs/>
          <w:lang w:val="en-US" w:eastAsia="ja-JP"/>
        </w:rPr>
        <w:t xml:space="preserve"> (including half symbol STBC proposal in R1-1705002)</w:t>
      </w:r>
    </w:p>
    <w:p w14:paraId="4AC7CFAB" w14:textId="77777777" w:rsidR="00795574" w:rsidRPr="00DE2681" w:rsidRDefault="00795574" w:rsidP="00CC2D84">
      <w:pPr>
        <w:numPr>
          <w:ilvl w:val="1"/>
          <w:numId w:val="13"/>
        </w:numPr>
        <w:spacing w:after="0"/>
        <w:rPr>
          <w:rFonts w:eastAsia="MS Mincho"/>
          <w:iCs/>
          <w:lang w:val="en-US" w:eastAsia="ja-JP"/>
        </w:rPr>
      </w:pPr>
      <w:r w:rsidRPr="00DE2681">
        <w:rPr>
          <w:rFonts w:eastAsia="MS Mincho"/>
          <w:iCs/>
          <w:lang w:val="en-US" w:eastAsia="ja-JP"/>
        </w:rPr>
        <w:t>SFBC</w:t>
      </w:r>
    </w:p>
    <w:p w14:paraId="6E76BC78" w14:textId="77777777" w:rsidR="00795574" w:rsidRPr="00362DAE" w:rsidRDefault="00795574" w:rsidP="00CC2D84">
      <w:pPr>
        <w:numPr>
          <w:ilvl w:val="1"/>
          <w:numId w:val="13"/>
        </w:numPr>
        <w:spacing w:after="0"/>
        <w:rPr>
          <w:rFonts w:eastAsia="MS Mincho"/>
          <w:iCs/>
          <w:lang w:val="en-US" w:eastAsia="ja-JP"/>
        </w:rPr>
      </w:pPr>
      <w:r w:rsidRPr="00DE2681">
        <w:rPr>
          <w:rFonts w:eastAsia="MS Mincho"/>
          <w:iCs/>
          <w:lang w:val="en-US" w:eastAsia="ja-JP"/>
        </w:rPr>
        <w:t>PVS in time domain</w:t>
      </w:r>
    </w:p>
    <w:p w14:paraId="38B00048" w14:textId="77777777" w:rsidR="002A2A4E" w:rsidRDefault="002A2A4E" w:rsidP="002A2A4E">
      <w:pPr>
        <w:rPr>
          <w:rFonts w:eastAsia="MS Mincho"/>
          <w:iCs/>
          <w:lang w:val="en-US" w:eastAsia="ja-JP"/>
        </w:rPr>
      </w:pPr>
      <w:r>
        <w:rPr>
          <w:rFonts w:eastAsia="MS Mincho"/>
          <w:iCs/>
          <w:lang w:val="en-US" w:eastAsia="ja-JP"/>
        </w:rPr>
        <w:t>Note: other schemes are not precluded</w:t>
      </w:r>
    </w:p>
    <w:p w14:paraId="27D5C5DF" w14:textId="77777777" w:rsidR="002A2A4E" w:rsidRDefault="002A2A4E" w:rsidP="002A2A4E">
      <w:pPr>
        <w:rPr>
          <w:rFonts w:eastAsia="MS Mincho"/>
          <w:iCs/>
          <w:lang w:eastAsia="ja-JP"/>
        </w:rPr>
      </w:pPr>
      <w:r w:rsidRPr="00565D70">
        <w:rPr>
          <w:rFonts w:eastAsia="MS Mincho"/>
          <w:iCs/>
          <w:highlight w:val="green"/>
          <w:lang w:eastAsia="ja-JP"/>
        </w:rPr>
        <w:t>Agreement:</w:t>
      </w:r>
    </w:p>
    <w:p w14:paraId="4F14B33C" w14:textId="77777777" w:rsidR="002A2A4E" w:rsidRDefault="002A2A4E" w:rsidP="00CC2D84">
      <w:pPr>
        <w:numPr>
          <w:ilvl w:val="0"/>
          <w:numId w:val="13"/>
        </w:numPr>
        <w:spacing w:after="0"/>
        <w:rPr>
          <w:rFonts w:eastAsia="MS Mincho"/>
          <w:iCs/>
          <w:lang w:val="en-US" w:eastAsia="ja-JP"/>
        </w:rPr>
      </w:pPr>
      <w:r>
        <w:rPr>
          <w:rFonts w:eastAsia="MS Mincho"/>
          <w:iCs/>
          <w:lang w:val="en-US" w:eastAsia="ja-JP"/>
        </w:rPr>
        <w:t>At least the following c</w:t>
      </w:r>
      <w:r w:rsidRPr="00DE2681">
        <w:rPr>
          <w:rFonts w:eastAsia="MS Mincho"/>
          <w:iCs/>
          <w:lang w:val="en-US" w:eastAsia="ja-JP"/>
        </w:rPr>
        <w:t xml:space="preserve">andidate TxD schemes </w:t>
      </w:r>
      <w:r>
        <w:rPr>
          <w:rFonts w:eastAsia="MS Mincho"/>
          <w:iCs/>
          <w:lang w:val="en-US" w:eastAsia="ja-JP"/>
        </w:rPr>
        <w:t>for PSC</w:t>
      </w:r>
      <w:r w:rsidRPr="00DE2681">
        <w:rPr>
          <w:rFonts w:eastAsia="MS Mincho"/>
          <w:iCs/>
          <w:lang w:val="en-US" w:eastAsia="ja-JP"/>
        </w:rPr>
        <w:t>CH transmission to be evaluated</w:t>
      </w:r>
      <w:r>
        <w:rPr>
          <w:rFonts w:eastAsia="MS Mincho"/>
          <w:iCs/>
          <w:lang w:val="en-US" w:eastAsia="ja-JP"/>
        </w:rPr>
        <w:t>:</w:t>
      </w:r>
    </w:p>
    <w:p w14:paraId="682CD99D" w14:textId="77777777" w:rsidR="002A2A4E" w:rsidRDefault="002A2A4E" w:rsidP="00CC2D84">
      <w:pPr>
        <w:numPr>
          <w:ilvl w:val="1"/>
          <w:numId w:val="13"/>
        </w:numPr>
        <w:spacing w:after="0"/>
        <w:rPr>
          <w:rFonts w:eastAsia="MS Mincho"/>
          <w:iCs/>
          <w:lang w:val="en-US" w:eastAsia="ja-JP"/>
        </w:rPr>
      </w:pPr>
      <w:r w:rsidRPr="00DE2681">
        <w:rPr>
          <w:rFonts w:eastAsia="MS Mincho"/>
          <w:iCs/>
          <w:lang w:val="en-US" w:eastAsia="ja-JP"/>
        </w:rPr>
        <w:t>Small delay CDD</w:t>
      </w:r>
    </w:p>
    <w:p w14:paraId="1BA54D8E" w14:textId="77777777" w:rsidR="002A2A4E" w:rsidRPr="00DE2681" w:rsidRDefault="002A2A4E" w:rsidP="00CC2D84">
      <w:pPr>
        <w:numPr>
          <w:ilvl w:val="0"/>
          <w:numId w:val="13"/>
        </w:numPr>
        <w:spacing w:after="0"/>
        <w:rPr>
          <w:rFonts w:eastAsia="MS Mincho"/>
          <w:iCs/>
          <w:lang w:val="en-US" w:eastAsia="ja-JP"/>
        </w:rPr>
      </w:pPr>
      <w:r>
        <w:rPr>
          <w:rFonts w:eastAsia="MS Mincho"/>
          <w:iCs/>
          <w:lang w:val="en-US" w:eastAsia="ja-JP"/>
        </w:rPr>
        <w:t>Note: other schemes are not precluded provided that they fulfil objective 2 of the WID</w:t>
      </w:r>
    </w:p>
    <w:p w14:paraId="563B8EA5" w14:textId="693FA950" w:rsidR="002A2A4E" w:rsidRDefault="002A2A4E" w:rsidP="002D7FD1">
      <w:pPr>
        <w:jc w:val="both"/>
        <w:rPr>
          <w:lang w:val="en-US"/>
        </w:rPr>
      </w:pPr>
    </w:p>
    <w:p w14:paraId="4A4F60FE" w14:textId="4D46F8B7" w:rsidR="00FC3F08" w:rsidRDefault="00FC3F08" w:rsidP="002D7FD1">
      <w:pPr>
        <w:jc w:val="both"/>
        <w:rPr>
          <w:rFonts w:eastAsia="MS Mincho"/>
          <w:lang w:val="en-US" w:eastAsia="ja-JP"/>
        </w:rPr>
      </w:pPr>
      <w:r>
        <w:rPr>
          <w:lang w:val="en-US"/>
        </w:rPr>
        <w:t xml:space="preserve">Then, in </w:t>
      </w:r>
      <w:r>
        <w:rPr>
          <w:rFonts w:eastAsia="MS Mincho"/>
          <w:lang w:val="en-US" w:eastAsia="ja-JP"/>
        </w:rPr>
        <w:t>RAN1#89</w:t>
      </w:r>
      <w:r w:rsidR="00236AB5">
        <w:rPr>
          <w:rFonts w:eastAsia="MS Mincho"/>
          <w:lang w:val="en-US" w:eastAsia="ja-JP"/>
        </w:rPr>
        <w:t xml:space="preserve"> </w:t>
      </w:r>
      <w:r w:rsidR="00765B77">
        <w:rPr>
          <w:rFonts w:eastAsia="MS Mincho"/>
          <w:lang w:val="en-US" w:eastAsia="ja-JP"/>
        </w:rPr>
        <w:fldChar w:fldCharType="begin"/>
      </w:r>
      <w:r w:rsidR="00765B77">
        <w:rPr>
          <w:rFonts w:eastAsia="MS Mincho"/>
          <w:lang w:val="en-US" w:eastAsia="ja-JP"/>
        </w:rPr>
        <w:instrText xml:space="preserve"> REF _Ref494461017 \r \h </w:instrText>
      </w:r>
      <w:r w:rsidR="00765B77">
        <w:rPr>
          <w:rFonts w:eastAsia="MS Mincho"/>
          <w:lang w:val="en-US" w:eastAsia="ja-JP"/>
        </w:rPr>
      </w:r>
      <w:r w:rsidR="00765B77">
        <w:rPr>
          <w:rFonts w:eastAsia="MS Mincho"/>
          <w:lang w:val="en-US" w:eastAsia="ja-JP"/>
        </w:rPr>
        <w:fldChar w:fldCharType="separate"/>
      </w:r>
      <w:r w:rsidR="00467871">
        <w:rPr>
          <w:rFonts w:eastAsia="MS Mincho"/>
          <w:lang w:val="en-US" w:eastAsia="ja-JP"/>
        </w:rPr>
        <w:t>[3]</w:t>
      </w:r>
      <w:r w:rsidR="00765B77">
        <w:rPr>
          <w:rFonts w:eastAsia="MS Mincho"/>
          <w:lang w:val="en-US" w:eastAsia="ja-JP"/>
        </w:rPr>
        <w:fldChar w:fldCharType="end"/>
      </w:r>
      <w:r>
        <w:rPr>
          <w:rFonts w:eastAsia="MS Mincho"/>
          <w:lang w:val="en-US" w:eastAsia="ja-JP"/>
        </w:rPr>
        <w:t>, the following was agreed.</w:t>
      </w:r>
    </w:p>
    <w:p w14:paraId="10D42E88" w14:textId="77777777" w:rsidR="00FC3F08" w:rsidRPr="00F85A57" w:rsidRDefault="00FC3F08" w:rsidP="00FC3F08">
      <w:pPr>
        <w:pStyle w:val="BodyText"/>
        <w:spacing w:after="240"/>
        <w:rPr>
          <w:sz w:val="20"/>
          <w:szCs w:val="20"/>
        </w:rPr>
      </w:pPr>
      <w:r w:rsidRPr="00F85A57">
        <w:rPr>
          <w:sz w:val="20"/>
          <w:szCs w:val="20"/>
          <w:highlight w:val="green"/>
        </w:rPr>
        <w:t>Agreement:</w:t>
      </w:r>
      <w:r w:rsidRPr="00F85A57">
        <w:rPr>
          <w:sz w:val="20"/>
          <w:szCs w:val="20"/>
        </w:rPr>
        <w:t xml:space="preserve"> </w:t>
      </w:r>
    </w:p>
    <w:p w14:paraId="1A8F91AC" w14:textId="2CA1845C" w:rsidR="00FC3F08" w:rsidRDefault="00FC3F08" w:rsidP="00CC2D84">
      <w:pPr>
        <w:pStyle w:val="BodyText"/>
        <w:numPr>
          <w:ilvl w:val="0"/>
          <w:numId w:val="8"/>
        </w:numPr>
        <w:spacing w:before="240" w:after="240"/>
        <w:jc w:val="both"/>
        <w:rPr>
          <w:sz w:val="20"/>
          <w:szCs w:val="20"/>
        </w:rPr>
      </w:pPr>
      <w:r w:rsidRPr="00F85A57">
        <w:rPr>
          <w:sz w:val="20"/>
          <w:szCs w:val="20"/>
        </w:rPr>
        <w:t>Legacy Rel-14 DMRS pattern with single antenna port, including time-frequency location, sequence, and cyclic shift, is applied to PSCCH transmission.</w:t>
      </w:r>
    </w:p>
    <w:p w14:paraId="2A945589" w14:textId="0E1FF3C1" w:rsidR="00777164" w:rsidRDefault="00777164" w:rsidP="00777164">
      <w:pPr>
        <w:spacing w:after="0"/>
        <w:rPr>
          <w:rFonts w:eastAsia="MS Mincho"/>
          <w:lang w:val="en-US" w:eastAsia="ja-JP"/>
        </w:rPr>
      </w:pPr>
      <w:r>
        <w:rPr>
          <w:rFonts w:eastAsia="MS Mincho"/>
          <w:iCs/>
          <w:lang w:val="en-US" w:eastAsia="ja-JP"/>
        </w:rPr>
        <w:t xml:space="preserve">In </w:t>
      </w:r>
      <w:r>
        <w:rPr>
          <w:rFonts w:eastAsia="MS Mincho"/>
          <w:lang w:val="en-US" w:eastAsia="ja-JP"/>
        </w:rPr>
        <w:t xml:space="preserve">RAN1#90 </w:t>
      </w:r>
      <w:r w:rsidR="00765B77">
        <w:rPr>
          <w:rFonts w:eastAsia="MS Mincho"/>
          <w:lang w:val="en-US" w:eastAsia="ja-JP"/>
        </w:rPr>
        <w:fldChar w:fldCharType="begin"/>
      </w:r>
      <w:r w:rsidR="00765B77">
        <w:rPr>
          <w:rFonts w:eastAsia="MS Mincho"/>
          <w:lang w:val="en-US" w:eastAsia="ja-JP"/>
        </w:rPr>
        <w:instrText xml:space="preserve"> REF _Ref494461055 \r \h </w:instrText>
      </w:r>
      <w:r w:rsidR="00765B77">
        <w:rPr>
          <w:rFonts w:eastAsia="MS Mincho"/>
          <w:lang w:val="en-US" w:eastAsia="ja-JP"/>
        </w:rPr>
      </w:r>
      <w:r w:rsidR="00765B77">
        <w:rPr>
          <w:rFonts w:eastAsia="MS Mincho"/>
          <w:lang w:val="en-US" w:eastAsia="ja-JP"/>
        </w:rPr>
        <w:fldChar w:fldCharType="separate"/>
      </w:r>
      <w:r w:rsidR="00467871">
        <w:rPr>
          <w:rFonts w:eastAsia="MS Mincho"/>
          <w:lang w:val="en-US" w:eastAsia="ja-JP"/>
        </w:rPr>
        <w:t>[4]</w:t>
      </w:r>
      <w:r w:rsidR="00765B77">
        <w:rPr>
          <w:rFonts w:eastAsia="MS Mincho"/>
          <w:lang w:val="en-US" w:eastAsia="ja-JP"/>
        </w:rPr>
        <w:fldChar w:fldCharType="end"/>
      </w:r>
      <w:r>
        <w:rPr>
          <w:rFonts w:eastAsia="MS Mincho"/>
          <w:lang w:val="en-US" w:eastAsia="ja-JP"/>
        </w:rPr>
        <w:t xml:space="preserve">, the following working assumptions were summarized from offline discussions. </w:t>
      </w:r>
    </w:p>
    <w:p w14:paraId="17A22949" w14:textId="77777777" w:rsidR="00777164" w:rsidRDefault="00777164" w:rsidP="00777164">
      <w:pPr>
        <w:spacing w:after="0"/>
        <w:rPr>
          <w:rFonts w:eastAsia="MS Mincho"/>
          <w:lang w:val="en-US" w:eastAsia="ja-JP"/>
        </w:rPr>
      </w:pPr>
    </w:p>
    <w:p w14:paraId="4316980E" w14:textId="77777777" w:rsidR="00777164" w:rsidRPr="008C0147" w:rsidRDefault="00777164" w:rsidP="00777164">
      <w:pPr>
        <w:rPr>
          <w:rFonts w:eastAsia="MS Mincho"/>
          <w:b/>
          <w:u w:val="single"/>
          <w:lang w:val="en-US"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14:paraId="54D43650" w14:textId="77777777" w:rsidR="00777164" w:rsidRPr="008C0147" w:rsidRDefault="00777164" w:rsidP="00CC2D84">
      <w:pPr>
        <w:numPr>
          <w:ilvl w:val="0"/>
          <w:numId w:val="15"/>
        </w:numPr>
        <w:tabs>
          <w:tab w:val="left" w:pos="1440"/>
        </w:tabs>
        <w:spacing w:after="0"/>
        <w:rPr>
          <w:rFonts w:eastAsia="MS Mincho"/>
          <w:lang w:val="en-US" w:eastAsia="ja-JP"/>
        </w:rPr>
      </w:pPr>
      <w:r w:rsidRPr="008C0147">
        <w:rPr>
          <w:rFonts w:eastAsia="MS Mincho"/>
          <w:lang w:val="en-US" w:eastAsia="ja-JP"/>
        </w:rPr>
        <w:t>For designing PSSCH, RAN1 assumes the use of two-port non-transparent transmit diversity</w:t>
      </w:r>
    </w:p>
    <w:p w14:paraId="6C34841C"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 xml:space="preserve">The use of non-transparent transmit diversity is configured. </w:t>
      </w:r>
    </w:p>
    <w:p w14:paraId="35BD1956"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Details, including diversity scheme, are FFS</w:t>
      </w:r>
    </w:p>
    <w:p w14:paraId="3281D920"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Support of transmission and/or reception up to UE capability</w:t>
      </w:r>
    </w:p>
    <w:p w14:paraId="3A737525" w14:textId="77777777" w:rsidR="00777164" w:rsidRPr="008C0147" w:rsidRDefault="00777164" w:rsidP="00CC2D84">
      <w:pPr>
        <w:numPr>
          <w:ilvl w:val="2"/>
          <w:numId w:val="15"/>
        </w:numPr>
        <w:tabs>
          <w:tab w:val="left" w:pos="1440"/>
        </w:tabs>
        <w:spacing w:after="0"/>
        <w:rPr>
          <w:rFonts w:eastAsia="MS Mincho"/>
          <w:lang w:val="en-US" w:eastAsia="ja-JP"/>
        </w:rPr>
      </w:pPr>
      <w:r w:rsidRPr="008C0147">
        <w:rPr>
          <w:rFonts w:eastAsia="MS Mincho"/>
          <w:lang w:val="en-US" w:eastAsia="ja-JP"/>
        </w:rPr>
        <w:t>Note: It is RAN1 understanding that requirements on capabilities can be set at regional level and are outside 3GPP scope</w:t>
      </w:r>
    </w:p>
    <w:p w14:paraId="7A61E215"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Send LS to RAN4 to ask their opinion about when non-transparent scheme for transmit diversity is used by Rel-15 UEs:</w:t>
      </w:r>
    </w:p>
    <w:p w14:paraId="182B3113" w14:textId="77777777" w:rsidR="00777164" w:rsidRPr="008C0147" w:rsidRDefault="00777164" w:rsidP="00CC2D84">
      <w:pPr>
        <w:numPr>
          <w:ilvl w:val="2"/>
          <w:numId w:val="15"/>
        </w:numPr>
        <w:tabs>
          <w:tab w:val="left" w:pos="1440"/>
        </w:tabs>
        <w:spacing w:after="0"/>
        <w:rPr>
          <w:rFonts w:eastAsia="MS Mincho"/>
          <w:lang w:val="en-US" w:eastAsia="ja-JP"/>
        </w:rPr>
      </w:pPr>
      <w:r w:rsidRPr="008C0147">
        <w:rPr>
          <w:rFonts w:eastAsia="MS Mincho"/>
          <w:lang w:val="en-US" w:eastAsia="ja-JP"/>
        </w:rPr>
        <w:t>Impact on Rel-14 UEs of PSSCH-RSRP measurement accuracy</w:t>
      </w:r>
    </w:p>
    <w:p w14:paraId="4C0659AD" w14:textId="77777777" w:rsidR="00777164" w:rsidRPr="008C0147" w:rsidRDefault="00777164" w:rsidP="00CC2D84">
      <w:pPr>
        <w:numPr>
          <w:ilvl w:val="2"/>
          <w:numId w:val="15"/>
        </w:numPr>
        <w:tabs>
          <w:tab w:val="left" w:pos="1440"/>
        </w:tabs>
        <w:spacing w:after="0"/>
        <w:rPr>
          <w:rFonts w:eastAsia="MS Mincho"/>
          <w:lang w:val="en-US" w:eastAsia="ja-JP"/>
        </w:rPr>
      </w:pPr>
      <w:r w:rsidRPr="008C0147">
        <w:rPr>
          <w:rFonts w:eastAsia="MS Mincho"/>
          <w:lang w:val="en-US" w:eastAsia="ja-JP"/>
        </w:rPr>
        <w:t>MPR for Rel-15 UEs</w:t>
      </w:r>
    </w:p>
    <w:p w14:paraId="2AAB2F65" w14:textId="77777777" w:rsidR="00777164" w:rsidRPr="008C0147" w:rsidRDefault="00777164" w:rsidP="00CC2D84">
      <w:pPr>
        <w:numPr>
          <w:ilvl w:val="0"/>
          <w:numId w:val="15"/>
        </w:numPr>
        <w:tabs>
          <w:tab w:val="left" w:pos="1440"/>
        </w:tabs>
        <w:spacing w:after="0"/>
        <w:rPr>
          <w:rFonts w:eastAsia="MS Mincho"/>
          <w:lang w:val="en-US" w:eastAsia="ja-JP"/>
        </w:rPr>
      </w:pPr>
      <w:r w:rsidRPr="008C0147">
        <w:rPr>
          <w:rFonts w:eastAsia="MS Mincho"/>
          <w:lang w:val="en-US" w:eastAsia="ja-JP"/>
        </w:rPr>
        <w:t>Non-transparent Transmit diversity is not used in the following cases:</w:t>
      </w:r>
    </w:p>
    <w:p w14:paraId="0445FE9A"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When communicating with Rel-14 UEs</w:t>
      </w:r>
    </w:p>
    <w:p w14:paraId="0C45034F"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When there is a high probability of resource collision with Rel-14 UEs</w:t>
      </w:r>
    </w:p>
    <w:p w14:paraId="4B5F8594" w14:textId="3BEF7123" w:rsidR="00777164" w:rsidRPr="00777164" w:rsidRDefault="00777164" w:rsidP="00CC2D84">
      <w:pPr>
        <w:numPr>
          <w:ilvl w:val="0"/>
          <w:numId w:val="15"/>
        </w:numPr>
        <w:tabs>
          <w:tab w:val="left" w:pos="1440"/>
        </w:tabs>
        <w:spacing w:after="0"/>
        <w:rPr>
          <w:rFonts w:eastAsia="MS Mincho"/>
          <w:lang w:val="en-US" w:eastAsia="ja-JP"/>
        </w:rPr>
      </w:pPr>
      <w:r w:rsidRPr="008C0147">
        <w:rPr>
          <w:rFonts w:eastAsia="MS Mincho"/>
          <w:lang w:eastAsia="ja-JP"/>
        </w:rPr>
        <w:t>Note: Some companies observe that the performance of MMSE-IRC receiver degrades when a non-transparent Transmit diversity scheme is used in interference limited scenarios with a dominant interferer</w:t>
      </w:r>
    </w:p>
    <w:p w14:paraId="6BD42075" w14:textId="77777777" w:rsidR="00777164" w:rsidRPr="00777164" w:rsidRDefault="00777164" w:rsidP="00777164">
      <w:pPr>
        <w:tabs>
          <w:tab w:val="left" w:pos="1440"/>
        </w:tabs>
        <w:spacing w:after="0"/>
        <w:ind w:left="720"/>
        <w:rPr>
          <w:rFonts w:eastAsia="MS Mincho"/>
          <w:lang w:val="en-US" w:eastAsia="ja-JP"/>
        </w:rPr>
      </w:pPr>
    </w:p>
    <w:p w14:paraId="4EE22FD3" w14:textId="3AD0F2BE" w:rsidR="00795574" w:rsidRPr="0070331C" w:rsidRDefault="0085245E" w:rsidP="002A2A4E">
      <w:pPr>
        <w:jc w:val="both"/>
      </w:pPr>
      <w:r w:rsidRPr="0070331C">
        <w:t>In this contribution</w:t>
      </w:r>
      <w:r w:rsidR="000543DA">
        <w:t>,</w:t>
      </w:r>
      <w:r w:rsidRPr="0070331C">
        <w:t xml:space="preserve"> we discuss </w:t>
      </w:r>
      <w:r w:rsidR="0070331C" w:rsidRPr="0070331C">
        <w:t xml:space="preserve">transmit diversity schemes for PSCCH and PSSCH transmissions. </w:t>
      </w:r>
      <w:r w:rsidR="00777164">
        <w:t>The a</w:t>
      </w:r>
      <w:r w:rsidR="0070331C" w:rsidRPr="00A17A98">
        <w:t xml:space="preserve">ssociated DMRS design </w:t>
      </w:r>
      <w:r w:rsidR="00D13A7D" w:rsidRPr="00A17A98">
        <w:t xml:space="preserve">for transmit diversity </w:t>
      </w:r>
      <w:r w:rsidR="0070331C" w:rsidRPr="00A17A98">
        <w:t>is discussed in our compan</w:t>
      </w:r>
      <w:r w:rsidR="000543DA" w:rsidRPr="00A17A98">
        <w:t>ion</w:t>
      </w:r>
      <w:r w:rsidR="0070331C" w:rsidRPr="00A17A98">
        <w:t xml:space="preserve"> contribution</w:t>
      </w:r>
      <w:r w:rsidR="00467871">
        <w:t xml:space="preserve"> </w:t>
      </w:r>
      <w:r w:rsidR="00467871">
        <w:fldChar w:fldCharType="begin"/>
      </w:r>
      <w:r w:rsidR="00467871">
        <w:instrText xml:space="preserve"> REF _Ref494462115 \r \h </w:instrText>
      </w:r>
      <w:r w:rsidR="00467871">
        <w:fldChar w:fldCharType="separate"/>
      </w:r>
      <w:r w:rsidR="00467871">
        <w:t>[5]</w:t>
      </w:r>
      <w:r w:rsidR="00467871">
        <w:fldChar w:fldCharType="end"/>
      </w:r>
      <w:r w:rsidR="0070331C" w:rsidRPr="00A17A98">
        <w:t>.</w:t>
      </w:r>
    </w:p>
    <w:p w14:paraId="76F9C8CA" w14:textId="518AAEE3" w:rsidR="000407EF" w:rsidRDefault="000714A4" w:rsidP="000407EF">
      <w:pPr>
        <w:pStyle w:val="Heading1"/>
      </w:pPr>
      <w:r>
        <w:t xml:space="preserve">Transmit </w:t>
      </w:r>
      <w:r w:rsidR="00C21A65">
        <w:t>diversity</w:t>
      </w:r>
      <w:r>
        <w:t xml:space="preserve"> for PSCCH and PSSCH transmissions</w:t>
      </w:r>
      <w:r w:rsidR="00643C62">
        <w:t xml:space="preserve">  </w:t>
      </w:r>
    </w:p>
    <w:p w14:paraId="71FD7907" w14:textId="26942E04" w:rsidR="00C21A65" w:rsidRDefault="00C21A65" w:rsidP="00C21A65">
      <w:pPr>
        <w:pStyle w:val="BodyText"/>
        <w:spacing w:before="240" w:after="240"/>
        <w:jc w:val="both"/>
        <w:rPr>
          <w:sz w:val="20"/>
          <w:szCs w:val="20"/>
          <w:lang w:val="en-GB"/>
        </w:rPr>
      </w:pPr>
      <w:r w:rsidRPr="00C21A65">
        <w:rPr>
          <w:sz w:val="20"/>
          <w:szCs w:val="20"/>
          <w:lang w:val="en-GB"/>
        </w:rPr>
        <w:t xml:space="preserve">As required by the WID described in Section </w:t>
      </w:r>
      <w:r w:rsidRPr="00C21A65">
        <w:rPr>
          <w:sz w:val="20"/>
          <w:szCs w:val="20"/>
          <w:lang w:val="en-GB"/>
        </w:rPr>
        <w:fldChar w:fldCharType="begin"/>
      </w:r>
      <w:r w:rsidRPr="00C21A65">
        <w:rPr>
          <w:sz w:val="20"/>
          <w:szCs w:val="20"/>
          <w:lang w:val="en-GB"/>
        </w:rPr>
        <w:instrText xml:space="preserve"> PAGEREF _Ref477771975 \h </w:instrText>
      </w:r>
      <w:r w:rsidRPr="00C21A65">
        <w:rPr>
          <w:sz w:val="20"/>
          <w:szCs w:val="20"/>
          <w:lang w:val="en-GB"/>
        </w:rPr>
      </w:r>
      <w:r w:rsidRPr="00C21A65">
        <w:rPr>
          <w:sz w:val="20"/>
          <w:szCs w:val="20"/>
          <w:lang w:val="en-GB"/>
        </w:rPr>
        <w:fldChar w:fldCharType="separate"/>
      </w:r>
      <w:r w:rsidR="00467871">
        <w:rPr>
          <w:noProof/>
          <w:sz w:val="20"/>
          <w:szCs w:val="20"/>
          <w:lang w:val="en-GB"/>
        </w:rPr>
        <w:t>1</w:t>
      </w:r>
      <w:r w:rsidRPr="00C21A65">
        <w:rPr>
          <w:sz w:val="20"/>
          <w:szCs w:val="20"/>
          <w:lang w:val="en-GB"/>
        </w:rPr>
        <w:fldChar w:fldCharType="end"/>
      </w:r>
      <w:r>
        <w:rPr>
          <w:sz w:val="20"/>
          <w:szCs w:val="20"/>
          <w:lang w:val="en-GB"/>
        </w:rPr>
        <w:t>, a</w:t>
      </w:r>
      <w:r w:rsidR="00D13A7D">
        <w:rPr>
          <w:sz w:val="20"/>
          <w:szCs w:val="20"/>
          <w:lang w:val="en-GB"/>
        </w:rPr>
        <w:t>ny transmit diversity scheme</w:t>
      </w:r>
      <w:r>
        <w:rPr>
          <w:sz w:val="20"/>
          <w:szCs w:val="20"/>
          <w:lang w:val="en-GB"/>
        </w:rPr>
        <w:t xml:space="preserve"> for Rel-15 should fulfil the following two targets:</w:t>
      </w:r>
    </w:p>
    <w:p w14:paraId="2418F456" w14:textId="77777777" w:rsidR="00C21A65" w:rsidRDefault="00C21A65" w:rsidP="00CC2D84">
      <w:pPr>
        <w:pStyle w:val="BodyText"/>
        <w:numPr>
          <w:ilvl w:val="0"/>
          <w:numId w:val="14"/>
        </w:numPr>
        <w:spacing w:before="240" w:after="240"/>
        <w:jc w:val="both"/>
        <w:rPr>
          <w:sz w:val="20"/>
          <w:szCs w:val="20"/>
          <w:lang w:val="en-GB"/>
        </w:rPr>
      </w:pPr>
      <w:r>
        <w:rPr>
          <w:sz w:val="20"/>
          <w:szCs w:val="20"/>
          <w:lang w:val="en-GB"/>
        </w:rPr>
        <w:t>Target 1: Providing as much diversity as possible for Rel-15 UEs to improve transmission reliability.</w:t>
      </w:r>
    </w:p>
    <w:p w14:paraId="6C624535" w14:textId="22E8D9CD" w:rsidR="00C21A65" w:rsidRDefault="00C21A65" w:rsidP="00CC2D84">
      <w:pPr>
        <w:pStyle w:val="BodyText"/>
        <w:numPr>
          <w:ilvl w:val="0"/>
          <w:numId w:val="14"/>
        </w:numPr>
        <w:spacing w:before="240" w:after="240"/>
        <w:jc w:val="both"/>
        <w:rPr>
          <w:sz w:val="20"/>
          <w:szCs w:val="20"/>
          <w:lang w:val="en-GB"/>
        </w:rPr>
      </w:pPr>
      <w:r>
        <w:rPr>
          <w:sz w:val="20"/>
          <w:szCs w:val="20"/>
          <w:lang w:val="en-GB"/>
        </w:rPr>
        <w:t>Target 2: Satisfying the backward compatibility requirements set by the WID.</w:t>
      </w:r>
    </w:p>
    <w:p w14:paraId="1105E46A" w14:textId="77777777" w:rsidR="00C21A65" w:rsidRDefault="00C21A65" w:rsidP="00C21A65">
      <w:pPr>
        <w:pStyle w:val="BodyText"/>
        <w:spacing w:before="240" w:after="240"/>
        <w:jc w:val="both"/>
        <w:rPr>
          <w:sz w:val="20"/>
          <w:szCs w:val="20"/>
          <w:lang w:val="en-GB"/>
        </w:rPr>
      </w:pPr>
      <w:r>
        <w:rPr>
          <w:sz w:val="20"/>
          <w:szCs w:val="20"/>
          <w:lang w:val="en-GB"/>
        </w:rPr>
        <w:t>The second target implies the following.</w:t>
      </w:r>
    </w:p>
    <w:p w14:paraId="2A186830" w14:textId="77777777" w:rsidR="00C21A65" w:rsidRDefault="00C21A65" w:rsidP="00CC2D84">
      <w:pPr>
        <w:pStyle w:val="BodyText"/>
        <w:numPr>
          <w:ilvl w:val="0"/>
          <w:numId w:val="12"/>
        </w:numPr>
        <w:spacing w:before="240" w:after="240"/>
        <w:jc w:val="both"/>
        <w:rPr>
          <w:sz w:val="20"/>
          <w:szCs w:val="20"/>
          <w:lang w:val="en-GB"/>
        </w:rPr>
      </w:pPr>
      <w:r>
        <w:rPr>
          <w:sz w:val="20"/>
          <w:szCs w:val="20"/>
          <w:lang w:val="en-GB"/>
        </w:rPr>
        <w:t>A Rel-15 UE uses the same SA format so that Rel-14 receivers can blindly decode it.</w:t>
      </w:r>
    </w:p>
    <w:p w14:paraId="1D4EC58D" w14:textId="27A8776D" w:rsidR="00C21A65" w:rsidRPr="00FC3F08" w:rsidRDefault="00C21A65" w:rsidP="00CC2D84">
      <w:pPr>
        <w:pStyle w:val="BodyText"/>
        <w:numPr>
          <w:ilvl w:val="0"/>
          <w:numId w:val="12"/>
        </w:numPr>
        <w:spacing w:before="240" w:after="240"/>
        <w:jc w:val="both"/>
        <w:rPr>
          <w:sz w:val="20"/>
          <w:szCs w:val="20"/>
          <w:lang w:val="en-GB"/>
        </w:rPr>
      </w:pPr>
      <w:r>
        <w:rPr>
          <w:sz w:val="20"/>
          <w:szCs w:val="20"/>
          <w:lang w:val="en-GB"/>
        </w:rPr>
        <w:t>Although data transmission of a Rel-15 UE does not need to be decoded by a Rel-14 receiver, DMRS of a Rel-15 UE should be configured in such a way that Rel-14 UEs can measure PSSCH-RSRP properly.</w:t>
      </w:r>
    </w:p>
    <w:p w14:paraId="1413CE56" w14:textId="795F02B3" w:rsidR="00D724CE" w:rsidRDefault="00D724CE" w:rsidP="00D724CE">
      <w:pPr>
        <w:pStyle w:val="BodyText"/>
        <w:spacing w:before="240" w:after="240"/>
        <w:jc w:val="both"/>
        <w:rPr>
          <w:sz w:val="20"/>
          <w:szCs w:val="20"/>
          <w:lang w:val="en-GB"/>
        </w:rPr>
      </w:pPr>
      <w:r>
        <w:rPr>
          <w:sz w:val="20"/>
          <w:szCs w:val="20"/>
          <w:lang w:val="en-GB"/>
        </w:rPr>
        <w:t>Due to the above two requirements, it is natural to distinguish three types of transmissions for Rel-15 UEs: transmission of SA (including both DMRS and</w:t>
      </w:r>
      <w:r w:rsidR="00A17A98">
        <w:rPr>
          <w:sz w:val="20"/>
          <w:szCs w:val="20"/>
          <w:lang w:val="en-GB"/>
        </w:rPr>
        <w:t xml:space="preserve"> </w:t>
      </w:r>
      <w:r w:rsidR="00252095">
        <w:rPr>
          <w:sz w:val="20"/>
          <w:szCs w:val="20"/>
          <w:lang w:val="en-GB"/>
        </w:rPr>
        <w:t>SCI</w:t>
      </w:r>
      <w:r>
        <w:rPr>
          <w:sz w:val="20"/>
          <w:szCs w:val="20"/>
          <w:lang w:val="en-GB"/>
        </w:rPr>
        <w:t xml:space="preserve">), transmission of data DMRS, and transmission of data payload, as </w:t>
      </w:r>
      <w:r w:rsidRPr="00123520">
        <w:rPr>
          <w:sz w:val="20"/>
          <w:szCs w:val="20"/>
          <w:lang w:val="en-GB"/>
        </w:rPr>
        <w:t xml:space="preserve">illustrated in </w:t>
      </w:r>
      <w:r w:rsidRPr="00123520">
        <w:rPr>
          <w:sz w:val="20"/>
          <w:szCs w:val="20"/>
          <w:lang w:val="en-GB"/>
        </w:rPr>
        <w:fldChar w:fldCharType="begin"/>
      </w:r>
      <w:r w:rsidRPr="00123520">
        <w:rPr>
          <w:sz w:val="20"/>
          <w:szCs w:val="20"/>
          <w:lang w:val="en-GB"/>
        </w:rPr>
        <w:instrText xml:space="preserve"> REF _Ref477772629 \h  \* MERGEFORMAT </w:instrText>
      </w:r>
      <w:r w:rsidRPr="00123520">
        <w:rPr>
          <w:sz w:val="20"/>
          <w:szCs w:val="20"/>
          <w:lang w:val="en-GB"/>
        </w:rPr>
      </w:r>
      <w:r w:rsidRPr="00123520">
        <w:rPr>
          <w:sz w:val="20"/>
          <w:szCs w:val="20"/>
          <w:lang w:val="en-GB"/>
        </w:rPr>
        <w:fldChar w:fldCharType="separate"/>
      </w:r>
      <w:r w:rsidR="00467871" w:rsidRPr="00467871">
        <w:rPr>
          <w:sz w:val="20"/>
          <w:szCs w:val="20"/>
        </w:rPr>
        <w:t xml:space="preserve">Figure </w:t>
      </w:r>
      <w:r w:rsidR="00467871" w:rsidRPr="00467871">
        <w:rPr>
          <w:noProof/>
          <w:sz w:val="20"/>
          <w:szCs w:val="20"/>
        </w:rPr>
        <w:t>1</w:t>
      </w:r>
      <w:r w:rsidRPr="00123520">
        <w:rPr>
          <w:sz w:val="20"/>
          <w:szCs w:val="20"/>
          <w:lang w:val="en-GB"/>
        </w:rPr>
        <w:fldChar w:fldCharType="end"/>
      </w:r>
      <w:r>
        <w:rPr>
          <w:sz w:val="20"/>
          <w:szCs w:val="20"/>
          <w:lang w:val="en-GB"/>
        </w:rPr>
        <w:t>. In this paper, we consider transmit diversity for both SA and data</w:t>
      </w:r>
      <w:r w:rsidR="0058402C">
        <w:rPr>
          <w:sz w:val="20"/>
          <w:szCs w:val="20"/>
          <w:lang w:val="en-GB"/>
        </w:rPr>
        <w:t xml:space="preserve"> transmissions</w:t>
      </w:r>
      <w:r>
        <w:rPr>
          <w:sz w:val="20"/>
          <w:szCs w:val="20"/>
          <w:lang w:val="en-GB"/>
        </w:rPr>
        <w:t>. The discussions on the associated DMRS design can be found in our compan</w:t>
      </w:r>
      <w:r w:rsidR="000543DA">
        <w:rPr>
          <w:sz w:val="20"/>
          <w:szCs w:val="20"/>
          <w:lang w:val="en-GB"/>
        </w:rPr>
        <w:t>ion</w:t>
      </w:r>
      <w:r>
        <w:rPr>
          <w:sz w:val="20"/>
          <w:szCs w:val="20"/>
          <w:lang w:val="en-GB"/>
        </w:rPr>
        <w:t xml:space="preserve"> contribution </w:t>
      </w:r>
      <w:r w:rsidR="00467871">
        <w:rPr>
          <w:sz w:val="20"/>
          <w:szCs w:val="20"/>
          <w:lang w:val="en-GB"/>
        </w:rPr>
        <w:fldChar w:fldCharType="begin"/>
      </w:r>
      <w:r w:rsidR="00467871">
        <w:rPr>
          <w:sz w:val="20"/>
          <w:szCs w:val="20"/>
          <w:lang w:val="en-GB"/>
        </w:rPr>
        <w:instrText xml:space="preserve"> REF _Ref494462115 \r \h </w:instrText>
      </w:r>
      <w:r w:rsidR="00467871">
        <w:rPr>
          <w:sz w:val="20"/>
          <w:szCs w:val="20"/>
          <w:lang w:val="en-GB"/>
        </w:rPr>
      </w:r>
      <w:r w:rsidR="00467871">
        <w:rPr>
          <w:sz w:val="20"/>
          <w:szCs w:val="20"/>
          <w:lang w:val="en-GB"/>
        </w:rPr>
        <w:fldChar w:fldCharType="separate"/>
      </w:r>
      <w:r w:rsidR="00467871">
        <w:rPr>
          <w:sz w:val="20"/>
          <w:szCs w:val="20"/>
          <w:lang w:val="en-GB"/>
        </w:rPr>
        <w:t>[5]</w:t>
      </w:r>
      <w:r w:rsidR="00467871">
        <w:rPr>
          <w:sz w:val="20"/>
          <w:szCs w:val="20"/>
          <w:lang w:val="en-GB"/>
        </w:rPr>
        <w:fldChar w:fldCharType="end"/>
      </w:r>
      <w:r>
        <w:rPr>
          <w:sz w:val="20"/>
          <w:szCs w:val="20"/>
          <w:lang w:val="en-GB"/>
        </w:rPr>
        <w:t>.</w:t>
      </w:r>
    </w:p>
    <w:p w14:paraId="31E5DD48" w14:textId="77777777" w:rsidR="00D724CE" w:rsidRDefault="00D724CE" w:rsidP="00D724CE">
      <w:pPr>
        <w:pStyle w:val="BodyText"/>
        <w:spacing w:before="240" w:after="240"/>
        <w:jc w:val="center"/>
        <w:rPr>
          <w:sz w:val="20"/>
          <w:szCs w:val="20"/>
          <w:lang w:val="en-GB"/>
        </w:rPr>
      </w:pPr>
      <w:r>
        <w:rPr>
          <w:noProof/>
          <w:sz w:val="20"/>
          <w:szCs w:val="20"/>
        </w:rPr>
        <w:drawing>
          <wp:inline distT="0" distB="0" distL="0" distR="0" wp14:anchorId="35DBCFA2" wp14:editId="4CB952B7">
            <wp:extent cx="4943475" cy="19729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ree categories.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48581" cy="1974997"/>
                    </a:xfrm>
                    <a:prstGeom prst="rect">
                      <a:avLst/>
                    </a:prstGeom>
                  </pic:spPr>
                </pic:pic>
              </a:graphicData>
            </a:graphic>
          </wp:inline>
        </w:drawing>
      </w:r>
    </w:p>
    <w:p w14:paraId="5A66D3E5" w14:textId="4AFA56F8" w:rsidR="00D724CE" w:rsidRDefault="00D724CE" w:rsidP="00D724CE">
      <w:pPr>
        <w:pStyle w:val="Caption"/>
        <w:jc w:val="center"/>
        <w:rPr>
          <w:b w:val="0"/>
        </w:rPr>
      </w:pPr>
      <w:bookmarkStart w:id="5" w:name="_Ref477772629"/>
      <w:r w:rsidRPr="00123520">
        <w:rPr>
          <w:b w:val="0"/>
        </w:rPr>
        <w:t xml:space="preserve">Figure </w:t>
      </w:r>
      <w:r w:rsidRPr="00123520">
        <w:rPr>
          <w:b w:val="0"/>
        </w:rPr>
        <w:fldChar w:fldCharType="begin"/>
      </w:r>
      <w:r w:rsidRPr="00123520">
        <w:rPr>
          <w:b w:val="0"/>
        </w:rPr>
        <w:instrText xml:space="preserve"> SEQ Figure \* ARABIC </w:instrText>
      </w:r>
      <w:r w:rsidRPr="00123520">
        <w:rPr>
          <w:b w:val="0"/>
        </w:rPr>
        <w:fldChar w:fldCharType="separate"/>
      </w:r>
      <w:r w:rsidR="00467871">
        <w:rPr>
          <w:b w:val="0"/>
          <w:noProof/>
        </w:rPr>
        <w:t>1</w:t>
      </w:r>
      <w:r w:rsidRPr="00123520">
        <w:rPr>
          <w:b w:val="0"/>
        </w:rPr>
        <w:fldChar w:fldCharType="end"/>
      </w:r>
      <w:bookmarkEnd w:id="5"/>
      <w:r w:rsidRPr="00123520">
        <w:rPr>
          <w:b w:val="0"/>
        </w:rPr>
        <w:t>. Illustration of the three categories of transmissions</w:t>
      </w:r>
    </w:p>
    <w:p w14:paraId="22CA6823" w14:textId="77777777" w:rsidR="0069038F" w:rsidRPr="0069038F" w:rsidRDefault="0069038F" w:rsidP="0069038F"/>
    <w:p w14:paraId="0A9F175C" w14:textId="2C0D9477" w:rsidR="000714A4" w:rsidRDefault="009E745A" w:rsidP="009E745A">
      <w:pPr>
        <w:pStyle w:val="Heading2"/>
      </w:pPr>
      <w:r w:rsidRPr="009E745A">
        <w:t>Transmit diversity for PSCCH transmission</w:t>
      </w:r>
    </w:p>
    <w:p w14:paraId="1664F4FB" w14:textId="0D7343D6" w:rsidR="009E745A" w:rsidRDefault="009E745A" w:rsidP="00FC3F08">
      <w:pPr>
        <w:pStyle w:val="BodyText"/>
        <w:spacing w:before="240" w:after="240"/>
        <w:jc w:val="both"/>
        <w:rPr>
          <w:sz w:val="20"/>
          <w:szCs w:val="20"/>
          <w:lang w:val="en-GB"/>
        </w:rPr>
      </w:pPr>
      <w:r w:rsidRPr="00391089">
        <w:rPr>
          <w:sz w:val="20"/>
          <w:szCs w:val="20"/>
          <w:lang w:val="en-GB"/>
        </w:rPr>
        <w:t>SA transmission</w:t>
      </w:r>
      <w:r w:rsidR="00CF6EC5">
        <w:rPr>
          <w:sz w:val="20"/>
          <w:szCs w:val="20"/>
          <w:lang w:val="en-GB"/>
        </w:rPr>
        <w:t xml:space="preserve"> </w:t>
      </w:r>
      <w:r w:rsidR="00A663D4">
        <w:rPr>
          <w:sz w:val="20"/>
          <w:szCs w:val="20"/>
          <w:lang w:val="en-GB"/>
        </w:rPr>
        <w:t>must</w:t>
      </w:r>
      <w:r w:rsidRPr="00391089">
        <w:rPr>
          <w:sz w:val="20"/>
          <w:szCs w:val="20"/>
          <w:lang w:val="en-GB"/>
        </w:rPr>
        <w:t xml:space="preserve"> be decodable by a Rel-14 UE receiver, which means that the multi-antenna processing of SA should be transparent to</w:t>
      </w:r>
      <w:r w:rsidR="00D1045E">
        <w:rPr>
          <w:sz w:val="20"/>
          <w:szCs w:val="20"/>
          <w:lang w:val="en-GB"/>
        </w:rPr>
        <w:t xml:space="preserve"> such</w:t>
      </w:r>
      <w:r w:rsidRPr="00391089">
        <w:rPr>
          <w:sz w:val="20"/>
          <w:szCs w:val="20"/>
          <w:lang w:val="en-GB"/>
        </w:rPr>
        <w:t xml:space="preserve"> </w:t>
      </w:r>
      <w:r>
        <w:rPr>
          <w:sz w:val="20"/>
          <w:szCs w:val="20"/>
          <w:lang w:val="en-GB"/>
        </w:rPr>
        <w:t>a</w:t>
      </w:r>
      <w:r w:rsidRPr="00391089">
        <w:rPr>
          <w:sz w:val="20"/>
          <w:szCs w:val="20"/>
          <w:lang w:val="en-GB"/>
        </w:rPr>
        <w:t xml:space="preserve"> receiver. </w:t>
      </w:r>
      <w:r>
        <w:rPr>
          <w:sz w:val="20"/>
          <w:szCs w:val="20"/>
          <w:lang w:val="en-GB"/>
        </w:rPr>
        <w:t>By transparent schemes,</w:t>
      </w:r>
      <w:r w:rsidR="00BE0D08">
        <w:rPr>
          <w:sz w:val="20"/>
          <w:szCs w:val="20"/>
          <w:lang w:val="en-GB"/>
        </w:rPr>
        <w:t xml:space="preserve"> </w:t>
      </w:r>
      <w:r w:rsidR="00D1045E">
        <w:rPr>
          <w:sz w:val="20"/>
          <w:szCs w:val="20"/>
          <w:lang w:val="en-GB"/>
        </w:rPr>
        <w:t xml:space="preserve">we </w:t>
      </w:r>
      <w:r w:rsidR="00BE0D08">
        <w:rPr>
          <w:sz w:val="20"/>
          <w:szCs w:val="20"/>
          <w:lang w:val="en-GB"/>
        </w:rPr>
        <w:t>mean that</w:t>
      </w:r>
      <w:r>
        <w:rPr>
          <w:sz w:val="20"/>
          <w:szCs w:val="20"/>
          <w:lang w:val="en-GB"/>
        </w:rPr>
        <w:t xml:space="preserve"> the receiver does</w:t>
      </w:r>
      <w:r w:rsidR="00EE0DA6">
        <w:rPr>
          <w:sz w:val="20"/>
          <w:szCs w:val="20"/>
          <w:lang w:val="en-GB"/>
        </w:rPr>
        <w:t xml:space="preserve"> not </w:t>
      </w:r>
      <w:r>
        <w:rPr>
          <w:sz w:val="20"/>
          <w:szCs w:val="20"/>
          <w:lang w:val="en-GB"/>
        </w:rPr>
        <w:t xml:space="preserve">need to know whether or which multi-antenna scheme is used at the transmitter. </w:t>
      </w:r>
      <w:r w:rsidR="00EE0DA6">
        <w:rPr>
          <w:sz w:val="20"/>
          <w:szCs w:val="20"/>
          <w:lang w:val="en-GB"/>
        </w:rPr>
        <w:t>Following</w:t>
      </w:r>
      <w:r w:rsidR="00FC3F08">
        <w:rPr>
          <w:sz w:val="20"/>
          <w:szCs w:val="20"/>
          <w:lang w:val="en-GB"/>
        </w:rPr>
        <w:t xml:space="preserve"> this principle, it was agreed in </w:t>
      </w:r>
      <w:r w:rsidR="00FC3F08" w:rsidRPr="009C40B4">
        <w:rPr>
          <w:sz w:val="20"/>
          <w:szCs w:val="20"/>
          <w:lang w:val="en-GB"/>
        </w:rPr>
        <w:t>RAN1#8</w:t>
      </w:r>
      <w:r w:rsidR="00FC3F08">
        <w:rPr>
          <w:sz w:val="20"/>
          <w:szCs w:val="20"/>
          <w:lang w:val="en-GB"/>
        </w:rPr>
        <w:t xml:space="preserve">9 that </w:t>
      </w:r>
      <w:r w:rsidR="00BE0D08">
        <w:rPr>
          <w:sz w:val="20"/>
          <w:szCs w:val="20"/>
          <w:lang w:val="en-GB"/>
        </w:rPr>
        <w:t xml:space="preserve">the </w:t>
      </w:r>
      <w:r w:rsidR="00BE0D08">
        <w:rPr>
          <w:sz w:val="20"/>
          <w:szCs w:val="20"/>
        </w:rPr>
        <w:t>l</w:t>
      </w:r>
      <w:r w:rsidR="00FC3F08" w:rsidRPr="00F85A57">
        <w:rPr>
          <w:sz w:val="20"/>
          <w:szCs w:val="20"/>
        </w:rPr>
        <w:t>egacy Rel-14 DMRS pattern with single antenna port, including time-frequency location, sequence, and cyclic shift, is applied to PSCCH transmission.</w:t>
      </w:r>
      <w:r w:rsidR="00FC3F08">
        <w:rPr>
          <w:sz w:val="20"/>
          <w:szCs w:val="20"/>
        </w:rPr>
        <w:t xml:space="preserve"> Therefore, small delay CDD is the most promising candidate for PSCCH transmission. </w:t>
      </w:r>
      <w:r w:rsidR="00FC3F08">
        <w:rPr>
          <w:sz w:val="20"/>
          <w:szCs w:val="20"/>
          <w:lang w:val="en-GB"/>
        </w:rPr>
        <w:t xml:space="preserve"> </w:t>
      </w:r>
    </w:p>
    <w:p w14:paraId="3B6A5A42" w14:textId="4683222D" w:rsidR="009C40B4" w:rsidRDefault="009C40B4" w:rsidP="009C40B4">
      <w:pPr>
        <w:pStyle w:val="BodyText"/>
        <w:spacing w:before="240" w:after="240"/>
        <w:jc w:val="both"/>
        <w:rPr>
          <w:sz w:val="20"/>
          <w:szCs w:val="20"/>
          <w:lang w:val="en-GB"/>
        </w:rPr>
      </w:pPr>
      <w:r>
        <w:rPr>
          <w:sz w:val="20"/>
          <w:szCs w:val="20"/>
          <w:lang w:val="en-GB"/>
        </w:rPr>
        <w:t xml:space="preserve">Small delay CDD is a precoding technique in which transmit diversity is obtained by applying a cyclic delay to the transmitted signal. In the frequency domain, this corresponds to the application of a phase-rotation precoder as shown in </w:t>
      </w:r>
      <w:r w:rsidR="0069038F">
        <w:fldChar w:fldCharType="begin"/>
      </w:r>
      <w:r w:rsidR="0069038F">
        <w:rPr>
          <w:sz w:val="20"/>
          <w:szCs w:val="20"/>
          <w:lang w:val="en-GB"/>
        </w:rPr>
        <w:instrText xml:space="preserve"> REF _Ref477772686 \h  \* MERGEFORMAT </w:instrText>
      </w:r>
      <w:r w:rsidR="0069038F">
        <w:fldChar w:fldCharType="separate"/>
      </w:r>
      <w:r w:rsidR="00467871" w:rsidRPr="00467871">
        <w:rPr>
          <w:sz w:val="20"/>
          <w:szCs w:val="20"/>
          <w:lang w:val="en-GB"/>
        </w:rPr>
        <w:t>Figure 2</w:t>
      </w:r>
      <w:r w:rsidR="0069038F">
        <w:fldChar w:fldCharType="end"/>
      </w:r>
      <w:r>
        <w:rPr>
          <w:sz w:val="20"/>
          <w:szCs w:val="20"/>
          <w:lang w:val="en-GB"/>
        </w:rPr>
        <w:t xml:space="preserve">. </w:t>
      </w:r>
      <w:r w:rsidRPr="007B4EE5">
        <w:rPr>
          <w:sz w:val="20"/>
          <w:szCs w:val="20"/>
          <w:lang w:val="en-GB"/>
        </w:rPr>
        <w:t xml:space="preserve">The phase-rotation precoder </w:t>
      </w:r>
      <w:r>
        <w:rPr>
          <w:sz w:val="20"/>
          <w:szCs w:val="20"/>
          <w:lang w:val="en-GB"/>
        </w:rPr>
        <w:t>consists of multiplying the frequency-domain signal by a term</w:t>
      </w:r>
      <w:r w:rsidRPr="007B4EE5">
        <w:rPr>
          <w:sz w:val="20"/>
          <w:szCs w:val="20"/>
          <w:lang w:val="en-GB"/>
        </w:rPr>
        <w:t xml:space="preserve"> </w:t>
      </w:r>
      <m:oMath>
        <m:sSup>
          <m:sSupPr>
            <m:ctrlPr>
              <w:rPr>
                <w:rFonts w:ascii="Cambria Math" w:hAnsi="Cambria Math"/>
                <w:i/>
                <w:iCs/>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-j2πk</m:t>
            </m:r>
            <m:sSub>
              <m:sSubPr>
                <m:ctrlPr>
                  <w:rPr>
                    <w:rFonts w:ascii="Cambria Math" w:hAnsi="Cambria Math"/>
                    <w:i/>
                    <w:i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r>
              <w:rPr>
                <w:rFonts w:ascii="Cambria Math" w:hAnsi="Cambria Math"/>
                <w:sz w:val="20"/>
                <w:szCs w:val="20"/>
                <w:lang w:val="en-GB"/>
              </w:rPr>
              <m:t>/N</m:t>
            </m:r>
          </m:sup>
        </m:sSup>
      </m:oMath>
      <w:r w:rsidRPr="007B4EE5">
        <w:rPr>
          <w:sz w:val="20"/>
          <w:szCs w:val="20"/>
          <w:lang w:val="en-GB"/>
        </w:rPr>
        <w:t xml:space="preserve">, where </w:t>
      </w:r>
      <m:oMath>
        <m:r>
          <w:rPr>
            <w:rFonts w:ascii="Cambria Math" w:hAnsi="Cambria Math"/>
            <w:sz w:val="20"/>
            <w:szCs w:val="20"/>
            <w:lang w:val="en-GB"/>
          </w:rPr>
          <m:t>k</m:t>
        </m:r>
      </m:oMath>
      <w:r w:rsidRPr="007B4EE5">
        <w:rPr>
          <w:sz w:val="20"/>
          <w:szCs w:val="20"/>
          <w:lang w:val="en-GB"/>
        </w:rPr>
        <w:t xml:space="preserve"> is the subcarrier index, </w:t>
      </w:r>
      <m:oMath>
        <m:r>
          <w:rPr>
            <w:rFonts w:ascii="Cambria Math" w:hAnsi="Cambria Math"/>
            <w:sz w:val="20"/>
            <w:szCs w:val="20"/>
            <w:lang w:val="en-GB"/>
          </w:rPr>
          <m:t>N</m:t>
        </m:r>
      </m:oMath>
      <w:r w:rsidRPr="007B4EE5">
        <w:rPr>
          <w:sz w:val="20"/>
          <w:szCs w:val="20"/>
          <w:lang w:val="en-GB"/>
        </w:rPr>
        <w:t xml:space="preserve"> is the FFT size, and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Pr="007B4EE5">
        <w:rPr>
          <w:sz w:val="20"/>
          <w:szCs w:val="20"/>
          <w:lang w:val="en-GB"/>
        </w:rPr>
        <w:t xml:space="preserve"> is the selected cyclic shift in time</w:t>
      </w:r>
      <w:r>
        <w:rPr>
          <w:sz w:val="20"/>
          <w:szCs w:val="20"/>
          <w:lang w:val="en-GB"/>
        </w:rPr>
        <w:t xml:space="preserve">. By choosing an appropriate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Pr>
          <w:sz w:val="20"/>
          <w:szCs w:val="20"/>
          <w:lang w:val="en-GB"/>
        </w:rPr>
        <w:t>, the transmission scheme can be transparent to the receiver</w:t>
      </w:r>
      <w:r>
        <w:rPr>
          <w:sz w:val="20"/>
          <w:szCs w:val="20"/>
          <w:lang w:val="en-GB" w:eastAsia="zh-CN"/>
        </w:rPr>
        <w:t>. Correspondingly</w:t>
      </w:r>
      <w:r w:rsidRPr="00863799">
        <w:rPr>
          <w:sz w:val="20"/>
          <w:szCs w:val="20"/>
          <w:lang w:val="en-GB"/>
        </w:rPr>
        <w:t>, the effects resulting from CDD are included in the effective channel response</w:t>
      </w:r>
      <w:r>
        <w:rPr>
          <w:sz w:val="20"/>
          <w:szCs w:val="20"/>
          <w:lang w:val="en-GB"/>
        </w:rPr>
        <w:t xml:space="preserve">, which </w:t>
      </w:r>
      <w:r w:rsidRPr="00863799">
        <w:rPr>
          <w:sz w:val="20"/>
          <w:szCs w:val="20"/>
          <w:lang w:val="en-GB"/>
        </w:rPr>
        <w:t xml:space="preserve">includes the effects of both physical channel and transmitter precoding. </w:t>
      </w:r>
      <w:r>
        <w:rPr>
          <w:sz w:val="20"/>
          <w:szCs w:val="20"/>
          <w:lang w:val="en-GB"/>
        </w:rPr>
        <w:t xml:space="preserve">That is, </w:t>
      </w:r>
      <w:r w:rsidRPr="00863799">
        <w:rPr>
          <w:sz w:val="20"/>
          <w:szCs w:val="20"/>
          <w:lang w:val="en-GB"/>
        </w:rPr>
        <w:t>the phase-rotation precoder</w:t>
      </w:r>
      <w:r>
        <w:rPr>
          <w:sz w:val="20"/>
          <w:szCs w:val="20"/>
          <w:lang w:val="en-GB"/>
        </w:rPr>
        <w:t xml:space="preserve"> introduces</w:t>
      </w:r>
      <w:r w:rsidRPr="00863799">
        <w:rPr>
          <w:sz w:val="20"/>
          <w:szCs w:val="20"/>
          <w:lang w:val="en-GB"/>
        </w:rPr>
        <w:t xml:space="preserve"> frequency diversity to the effective channel.</w:t>
      </w:r>
    </w:p>
    <w:p w14:paraId="1844C133" w14:textId="77777777" w:rsidR="0069038F" w:rsidRDefault="0069038F" w:rsidP="0069038F">
      <w:pPr>
        <w:pStyle w:val="BodyText"/>
        <w:spacing w:before="240" w:after="240"/>
        <w:jc w:val="center"/>
        <w:rPr>
          <w:sz w:val="20"/>
          <w:szCs w:val="20"/>
          <w:lang w:val="en-GB"/>
        </w:rPr>
      </w:pPr>
      <w:r>
        <w:rPr>
          <w:noProof/>
          <w:sz w:val="20"/>
          <w:szCs w:val="20"/>
        </w:rPr>
        <w:lastRenderedPageBreak/>
        <w:drawing>
          <wp:inline distT="0" distB="0" distL="0" distR="0" wp14:anchorId="45BFFB9F" wp14:editId="7124E1D8">
            <wp:extent cx="3124200" cy="17226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DD_transparen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34338" cy="1728268"/>
                    </a:xfrm>
                    <a:prstGeom prst="rect">
                      <a:avLst/>
                    </a:prstGeom>
                  </pic:spPr>
                </pic:pic>
              </a:graphicData>
            </a:graphic>
          </wp:inline>
        </w:drawing>
      </w:r>
    </w:p>
    <w:p w14:paraId="20B47382" w14:textId="39E86C16" w:rsidR="0069038F" w:rsidRPr="00123520" w:rsidRDefault="0069038F" w:rsidP="0069038F">
      <w:pPr>
        <w:pStyle w:val="Caption"/>
        <w:jc w:val="center"/>
        <w:rPr>
          <w:b w:val="0"/>
        </w:rPr>
      </w:pPr>
      <w:bookmarkStart w:id="6" w:name="_Ref477772686"/>
      <w:r w:rsidRPr="00123520">
        <w:rPr>
          <w:b w:val="0"/>
        </w:rPr>
        <w:t xml:space="preserve">Figure </w:t>
      </w:r>
      <w:r w:rsidRPr="00123520">
        <w:rPr>
          <w:b w:val="0"/>
        </w:rPr>
        <w:fldChar w:fldCharType="begin"/>
      </w:r>
      <w:r w:rsidRPr="00123520">
        <w:rPr>
          <w:b w:val="0"/>
        </w:rPr>
        <w:instrText xml:space="preserve"> SEQ Figure \* ARABIC </w:instrText>
      </w:r>
      <w:r w:rsidRPr="00123520">
        <w:rPr>
          <w:b w:val="0"/>
        </w:rPr>
        <w:fldChar w:fldCharType="separate"/>
      </w:r>
      <w:r w:rsidR="00467871">
        <w:rPr>
          <w:b w:val="0"/>
          <w:noProof/>
        </w:rPr>
        <w:t>2</w:t>
      </w:r>
      <w:r w:rsidRPr="00123520">
        <w:rPr>
          <w:b w:val="0"/>
        </w:rPr>
        <w:fldChar w:fldCharType="end"/>
      </w:r>
      <w:bookmarkEnd w:id="6"/>
      <w:r w:rsidRPr="00123520">
        <w:rPr>
          <w:b w:val="0"/>
        </w:rPr>
        <w:t>. Frequency implementation of transparent CDD</w:t>
      </w:r>
    </w:p>
    <w:p w14:paraId="2DD2FE14" w14:textId="024FAFBE" w:rsidR="006363F6" w:rsidRDefault="00FF50B2" w:rsidP="009C40B4">
      <w:pPr>
        <w:pStyle w:val="BodyText"/>
        <w:spacing w:before="240" w:after="240"/>
        <w:jc w:val="both"/>
        <w:rPr>
          <w:sz w:val="20"/>
          <w:szCs w:val="20"/>
          <w:lang w:val="en-GB"/>
        </w:rPr>
      </w:pPr>
      <w:r>
        <w:rPr>
          <w:sz w:val="20"/>
          <w:szCs w:val="20"/>
          <w:lang w:val="en-GB"/>
        </w:rPr>
        <w:t xml:space="preserve">In our </w:t>
      </w:r>
      <w:r w:rsidR="00FC3F08">
        <w:rPr>
          <w:sz w:val="20"/>
          <w:szCs w:val="20"/>
          <w:lang w:val="en-GB"/>
        </w:rPr>
        <w:t>previous</w:t>
      </w:r>
      <w:r>
        <w:rPr>
          <w:sz w:val="20"/>
          <w:szCs w:val="20"/>
          <w:lang w:val="en-GB"/>
        </w:rPr>
        <w:t xml:space="preserve"> contribution </w:t>
      </w:r>
      <w:r w:rsidR="00765B77">
        <w:rPr>
          <w:sz w:val="20"/>
          <w:szCs w:val="20"/>
          <w:lang w:val="en-GB"/>
        </w:rPr>
        <w:fldChar w:fldCharType="begin"/>
      </w:r>
      <w:r w:rsidR="00765B77">
        <w:rPr>
          <w:sz w:val="20"/>
          <w:szCs w:val="20"/>
          <w:lang w:val="en-GB"/>
        </w:rPr>
        <w:instrText xml:space="preserve"> REF _Ref494461137 \r \h </w:instrText>
      </w:r>
      <w:r w:rsidR="00765B77">
        <w:rPr>
          <w:sz w:val="20"/>
          <w:szCs w:val="20"/>
          <w:lang w:val="en-GB"/>
        </w:rPr>
      </w:r>
      <w:r w:rsidR="00765B77">
        <w:rPr>
          <w:sz w:val="20"/>
          <w:szCs w:val="20"/>
          <w:lang w:val="en-GB"/>
        </w:rPr>
        <w:fldChar w:fldCharType="separate"/>
      </w:r>
      <w:r w:rsidR="00467871">
        <w:rPr>
          <w:sz w:val="20"/>
          <w:szCs w:val="20"/>
          <w:lang w:val="en-GB"/>
        </w:rPr>
        <w:t>[6]</w:t>
      </w:r>
      <w:r w:rsidR="00765B77">
        <w:rPr>
          <w:sz w:val="20"/>
          <w:szCs w:val="20"/>
          <w:lang w:val="en-GB"/>
        </w:rPr>
        <w:fldChar w:fldCharType="end"/>
      </w:r>
      <w:r>
        <w:rPr>
          <w:sz w:val="20"/>
          <w:szCs w:val="20"/>
          <w:lang w:val="en-GB"/>
        </w:rPr>
        <w:t xml:space="preserve">, </w:t>
      </w:r>
      <w:r w:rsidR="00C12D4A">
        <w:rPr>
          <w:sz w:val="20"/>
          <w:szCs w:val="20"/>
          <w:lang w:val="en-GB"/>
        </w:rPr>
        <w:t>w</w:t>
      </w:r>
      <w:r w:rsidR="004873EB">
        <w:rPr>
          <w:sz w:val="20"/>
          <w:szCs w:val="20"/>
          <w:lang w:val="en-GB"/>
        </w:rPr>
        <w:t xml:space="preserve">e have evaluated </w:t>
      </w:r>
      <w:r w:rsidR="00C12D4A">
        <w:rPr>
          <w:sz w:val="20"/>
          <w:szCs w:val="20"/>
          <w:lang w:val="en-GB"/>
        </w:rPr>
        <w:t xml:space="preserve">the </w:t>
      </w:r>
      <w:r w:rsidR="004873EB">
        <w:rPr>
          <w:sz w:val="20"/>
          <w:szCs w:val="20"/>
          <w:lang w:val="en-GB"/>
        </w:rPr>
        <w:t xml:space="preserve">small delay CDD scheme for PSCCH transmission </w:t>
      </w:r>
      <w:r w:rsidR="00C12D4A">
        <w:rPr>
          <w:sz w:val="20"/>
          <w:szCs w:val="20"/>
          <w:lang w:val="en-GB"/>
        </w:rPr>
        <w:t>through</w:t>
      </w:r>
      <w:r w:rsidR="004873EB">
        <w:rPr>
          <w:sz w:val="20"/>
          <w:szCs w:val="20"/>
          <w:lang w:val="en-GB"/>
        </w:rPr>
        <w:t xml:space="preserve"> link level simulations</w:t>
      </w:r>
      <w:r w:rsidR="00C12D4A">
        <w:rPr>
          <w:sz w:val="20"/>
          <w:szCs w:val="20"/>
          <w:lang w:val="en-GB"/>
        </w:rPr>
        <w:t>. As shown by the simulation results, the small delay CDD scheme bring</w:t>
      </w:r>
      <w:r w:rsidR="00C46982">
        <w:rPr>
          <w:sz w:val="20"/>
          <w:szCs w:val="20"/>
          <w:lang w:val="en-GB"/>
        </w:rPr>
        <w:t>s</w:t>
      </w:r>
      <w:r w:rsidR="00C12D4A">
        <w:rPr>
          <w:sz w:val="20"/>
          <w:szCs w:val="20"/>
          <w:lang w:val="en-GB"/>
        </w:rPr>
        <w:t xml:space="preserve"> clearly improved </w:t>
      </w:r>
      <w:r w:rsidR="00C46982">
        <w:rPr>
          <w:sz w:val="20"/>
          <w:szCs w:val="20"/>
          <w:lang w:val="en-GB"/>
        </w:rPr>
        <w:t xml:space="preserve">BLER performance compared to the </w:t>
      </w:r>
      <w:r w:rsidR="00433165">
        <w:rPr>
          <w:sz w:val="20"/>
          <w:szCs w:val="20"/>
          <w:lang w:val="en-GB"/>
        </w:rPr>
        <w:t xml:space="preserve">legacy </w:t>
      </w:r>
      <w:r w:rsidR="00C46982">
        <w:rPr>
          <w:sz w:val="20"/>
          <w:szCs w:val="20"/>
          <w:lang w:val="en-GB"/>
        </w:rPr>
        <w:t>R</w:t>
      </w:r>
      <w:r w:rsidR="006363F6">
        <w:rPr>
          <w:sz w:val="20"/>
          <w:szCs w:val="20"/>
          <w:lang w:val="en-GB"/>
        </w:rPr>
        <w:t>el-14 PSCCH transmission</w:t>
      </w:r>
      <w:r w:rsidR="00C46982">
        <w:rPr>
          <w:sz w:val="20"/>
          <w:szCs w:val="20"/>
          <w:lang w:val="en-GB"/>
        </w:rPr>
        <w:t xml:space="preserve">. </w:t>
      </w:r>
    </w:p>
    <w:p w14:paraId="40F5B1EE" w14:textId="77777777" w:rsidR="00C46982" w:rsidRPr="003810E1" w:rsidRDefault="00C46982" w:rsidP="00C46982">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3E949AD4" w14:textId="124BEF00" w:rsidR="005D0287" w:rsidRDefault="000378EE" w:rsidP="00CC2D84">
      <w:pPr>
        <w:numPr>
          <w:ilvl w:val="0"/>
          <w:numId w:val="13"/>
        </w:numPr>
        <w:spacing w:after="0"/>
        <w:rPr>
          <w:b/>
          <w:i/>
          <w:lang w:val="en-US"/>
        </w:rPr>
      </w:pPr>
      <w:r w:rsidRPr="005D0287">
        <w:rPr>
          <w:b/>
          <w:i/>
          <w:lang w:val="en-US"/>
        </w:rPr>
        <w:t>Small delay CDD</w:t>
      </w:r>
      <w:r w:rsidR="005D0287">
        <w:rPr>
          <w:b/>
          <w:i/>
          <w:lang w:val="en-US"/>
        </w:rPr>
        <w:t xml:space="preserve"> is applied to </w:t>
      </w:r>
      <w:r w:rsidR="00E20B5E">
        <w:rPr>
          <w:b/>
          <w:i/>
          <w:lang w:val="en-US"/>
        </w:rPr>
        <w:t xml:space="preserve">Rel-15 </w:t>
      </w:r>
      <w:r w:rsidR="005D0287">
        <w:rPr>
          <w:b/>
          <w:i/>
          <w:lang w:val="en-US"/>
        </w:rPr>
        <w:t>PSCCH transmission.</w:t>
      </w:r>
    </w:p>
    <w:p w14:paraId="0A245869" w14:textId="1E681D3E" w:rsidR="006363F6" w:rsidRPr="005B2244" w:rsidRDefault="005D0287" w:rsidP="006E39CD">
      <w:pPr>
        <w:numPr>
          <w:ilvl w:val="1"/>
          <w:numId w:val="13"/>
        </w:numPr>
        <w:spacing w:after="0"/>
        <w:rPr>
          <w:b/>
          <w:i/>
          <w:lang w:val="en-US"/>
        </w:rPr>
      </w:pPr>
      <w:r w:rsidRPr="003329AB">
        <w:rPr>
          <w:b/>
          <w:i/>
          <w:lang w:val="en-US"/>
        </w:rPr>
        <w:t>FFS how to select phase rotation</w:t>
      </w:r>
      <w:r w:rsidR="000543DA">
        <w:rPr>
          <w:b/>
          <w:i/>
          <w:lang w:val="en-US"/>
        </w:rPr>
        <w:t>.</w:t>
      </w:r>
    </w:p>
    <w:p w14:paraId="6A5BAB09" w14:textId="493B9668" w:rsidR="00426899" w:rsidRPr="000E3EAC" w:rsidRDefault="002501D9" w:rsidP="000E3EAC">
      <w:pPr>
        <w:pStyle w:val="Heading2"/>
      </w:pPr>
      <w:r w:rsidRPr="009E745A">
        <w:t>Transmit diversity for PS</w:t>
      </w:r>
      <w:r>
        <w:t>S</w:t>
      </w:r>
      <w:r w:rsidRPr="009E745A">
        <w:t>CH transmission</w:t>
      </w:r>
    </w:p>
    <w:p w14:paraId="132F0268" w14:textId="7796AD82" w:rsidR="00A32907" w:rsidRDefault="003924EB" w:rsidP="00D1045E">
      <w:pPr>
        <w:pStyle w:val="BodyText"/>
        <w:spacing w:before="240" w:after="240"/>
        <w:jc w:val="both"/>
        <w:rPr>
          <w:sz w:val="20"/>
          <w:szCs w:val="20"/>
        </w:rPr>
      </w:pPr>
      <w:r>
        <w:rPr>
          <w:sz w:val="20"/>
          <w:szCs w:val="20"/>
        </w:rPr>
        <w:t xml:space="preserve">For PSSCH transmission, several transmit diversity schemes, including small delay CDD, PVS in time domain, Alamouti STBC, and Alamouti SFBC were presented. </w:t>
      </w:r>
      <w:r w:rsidR="000425BC">
        <w:rPr>
          <w:sz w:val="20"/>
          <w:szCs w:val="20"/>
        </w:rPr>
        <w:t xml:space="preserve">Note that small delay CDD </w:t>
      </w:r>
      <w:r w:rsidR="00D1045E">
        <w:rPr>
          <w:sz w:val="20"/>
          <w:szCs w:val="20"/>
        </w:rPr>
        <w:t>is</w:t>
      </w:r>
      <w:r w:rsidR="000425BC">
        <w:rPr>
          <w:sz w:val="20"/>
          <w:szCs w:val="20"/>
        </w:rPr>
        <w:t xml:space="preserve"> employed today in </w:t>
      </w:r>
      <w:r w:rsidR="00D1045E">
        <w:rPr>
          <w:sz w:val="20"/>
          <w:szCs w:val="20"/>
        </w:rPr>
        <w:t xml:space="preserve">test </w:t>
      </w:r>
      <w:r w:rsidR="000425BC">
        <w:rPr>
          <w:sz w:val="20"/>
          <w:szCs w:val="20"/>
        </w:rPr>
        <w:t xml:space="preserve">products to improve reliability </w:t>
      </w:r>
      <w:r w:rsidR="00765B77">
        <w:rPr>
          <w:sz w:val="20"/>
          <w:szCs w:val="20"/>
        </w:rPr>
        <w:fldChar w:fldCharType="begin"/>
      </w:r>
      <w:r w:rsidR="00765B77">
        <w:rPr>
          <w:sz w:val="20"/>
          <w:szCs w:val="20"/>
        </w:rPr>
        <w:instrText xml:space="preserve"> REF _Ref494114460 \r \h </w:instrText>
      </w:r>
      <w:r w:rsidR="00765B77">
        <w:rPr>
          <w:sz w:val="20"/>
          <w:szCs w:val="20"/>
        </w:rPr>
      </w:r>
      <w:r w:rsidR="00765B77">
        <w:rPr>
          <w:sz w:val="20"/>
          <w:szCs w:val="20"/>
        </w:rPr>
        <w:fldChar w:fldCharType="separate"/>
      </w:r>
      <w:r w:rsidR="00467871">
        <w:rPr>
          <w:sz w:val="20"/>
          <w:szCs w:val="20"/>
        </w:rPr>
        <w:t>[7]</w:t>
      </w:r>
      <w:r w:rsidR="00765B77">
        <w:rPr>
          <w:sz w:val="20"/>
          <w:szCs w:val="20"/>
        </w:rPr>
        <w:fldChar w:fldCharType="end"/>
      </w:r>
      <w:r w:rsidR="000425BC" w:rsidRPr="00937C1B">
        <w:rPr>
          <w:sz w:val="20"/>
          <w:szCs w:val="20"/>
        </w:rPr>
        <w:t>.</w:t>
      </w:r>
      <w:r w:rsidR="000425BC">
        <w:rPr>
          <w:sz w:val="20"/>
          <w:szCs w:val="20"/>
        </w:rPr>
        <w:t xml:space="preserve"> </w:t>
      </w:r>
      <w:r w:rsidR="00D1045E">
        <w:rPr>
          <w:sz w:val="20"/>
          <w:szCs w:val="20"/>
        </w:rPr>
        <w:t>We think that LTE-V2X Release 15 should go one step beyond and extract all the available diversity in the channel, improving upon CDD.</w:t>
      </w:r>
      <w:r w:rsidR="000425BC">
        <w:rPr>
          <w:sz w:val="20"/>
          <w:szCs w:val="20"/>
        </w:rPr>
        <w:t xml:space="preserve"> </w:t>
      </w:r>
      <w:r w:rsidR="00D1045E">
        <w:rPr>
          <w:sz w:val="20"/>
          <w:szCs w:val="20"/>
        </w:rPr>
        <w:t>To this end</w:t>
      </w:r>
      <w:r>
        <w:rPr>
          <w:sz w:val="20"/>
          <w:szCs w:val="20"/>
        </w:rPr>
        <w:t>, the d</w:t>
      </w:r>
      <w:r w:rsidR="00B83442">
        <w:rPr>
          <w:sz w:val="20"/>
          <w:szCs w:val="20"/>
        </w:rPr>
        <w:t>ifferent Alamouti schemes show</w:t>
      </w:r>
      <w:r>
        <w:rPr>
          <w:sz w:val="20"/>
          <w:szCs w:val="20"/>
        </w:rPr>
        <w:t xml:space="preserve"> the best performance </w:t>
      </w:r>
      <w:r w:rsidR="00D1045E">
        <w:rPr>
          <w:sz w:val="20"/>
          <w:szCs w:val="20"/>
        </w:rPr>
        <w:t>as shown both in</w:t>
      </w:r>
      <w:r w:rsidRPr="00B83442">
        <w:rPr>
          <w:sz w:val="20"/>
          <w:szCs w:val="20"/>
        </w:rPr>
        <w:t xml:space="preserve"> link level </w:t>
      </w:r>
      <w:r w:rsidR="00D1045E">
        <w:rPr>
          <w:sz w:val="20"/>
          <w:szCs w:val="20"/>
        </w:rPr>
        <w:t>and</w:t>
      </w:r>
      <w:r w:rsidR="00D1045E" w:rsidRPr="00B83442">
        <w:rPr>
          <w:sz w:val="20"/>
          <w:szCs w:val="20"/>
        </w:rPr>
        <w:t xml:space="preserve"> </w:t>
      </w:r>
      <w:r w:rsidRPr="00B83442">
        <w:rPr>
          <w:sz w:val="20"/>
          <w:szCs w:val="20"/>
        </w:rPr>
        <w:t xml:space="preserve">system level simulations </w:t>
      </w:r>
      <w:r w:rsidR="00765B77">
        <w:rPr>
          <w:sz w:val="20"/>
          <w:szCs w:val="20"/>
        </w:rPr>
        <w:fldChar w:fldCharType="begin"/>
      </w:r>
      <w:r w:rsidR="00765B77">
        <w:rPr>
          <w:sz w:val="20"/>
          <w:szCs w:val="20"/>
        </w:rPr>
        <w:instrText xml:space="preserve"> REF _Ref494461192 \r \h </w:instrText>
      </w:r>
      <w:r w:rsidR="00765B77">
        <w:rPr>
          <w:sz w:val="20"/>
          <w:szCs w:val="20"/>
        </w:rPr>
      </w:r>
      <w:r w:rsidR="00765B77">
        <w:rPr>
          <w:sz w:val="20"/>
          <w:szCs w:val="20"/>
        </w:rPr>
        <w:fldChar w:fldCharType="separate"/>
      </w:r>
      <w:r w:rsidR="00467871">
        <w:rPr>
          <w:sz w:val="20"/>
          <w:szCs w:val="20"/>
        </w:rPr>
        <w:t>[8]</w:t>
      </w:r>
      <w:r w:rsidR="00765B77">
        <w:rPr>
          <w:sz w:val="20"/>
          <w:szCs w:val="20"/>
        </w:rPr>
        <w:fldChar w:fldCharType="end"/>
      </w:r>
      <w:r w:rsidR="00765B77">
        <w:rPr>
          <w:sz w:val="20"/>
          <w:szCs w:val="20"/>
        </w:rPr>
        <w:t>-</w:t>
      </w:r>
      <w:r w:rsidR="00765B77">
        <w:rPr>
          <w:sz w:val="20"/>
          <w:szCs w:val="20"/>
        </w:rPr>
        <w:fldChar w:fldCharType="begin"/>
      </w:r>
      <w:r w:rsidR="00765B77">
        <w:rPr>
          <w:sz w:val="20"/>
          <w:szCs w:val="20"/>
        </w:rPr>
        <w:instrText xml:space="preserve"> REF _Ref489633868 \r \h </w:instrText>
      </w:r>
      <w:r w:rsidR="00765B77">
        <w:rPr>
          <w:sz w:val="20"/>
          <w:szCs w:val="20"/>
        </w:rPr>
      </w:r>
      <w:r w:rsidR="00765B77">
        <w:rPr>
          <w:sz w:val="20"/>
          <w:szCs w:val="20"/>
        </w:rPr>
        <w:fldChar w:fldCharType="separate"/>
      </w:r>
      <w:r w:rsidR="00467871">
        <w:rPr>
          <w:sz w:val="20"/>
          <w:szCs w:val="20"/>
        </w:rPr>
        <w:t>[11]</w:t>
      </w:r>
      <w:r w:rsidR="00765B77">
        <w:rPr>
          <w:sz w:val="20"/>
          <w:szCs w:val="20"/>
        </w:rPr>
        <w:fldChar w:fldCharType="end"/>
      </w:r>
      <w:r w:rsidRPr="00B83442">
        <w:rPr>
          <w:sz w:val="20"/>
          <w:szCs w:val="20"/>
        </w:rPr>
        <w:t>.</w:t>
      </w:r>
      <w:r>
        <w:rPr>
          <w:sz w:val="20"/>
          <w:szCs w:val="20"/>
        </w:rPr>
        <w:t xml:space="preserve"> Moreover, for high mobility, e.g., a relative speed up to 500km/h, only the Alamouti schemes provide acceptable performance </w:t>
      </w:r>
      <w:r w:rsidR="00765B77">
        <w:rPr>
          <w:sz w:val="20"/>
          <w:szCs w:val="20"/>
        </w:rPr>
        <w:fldChar w:fldCharType="begin"/>
      </w:r>
      <w:r w:rsidR="00765B77">
        <w:rPr>
          <w:sz w:val="20"/>
          <w:szCs w:val="20"/>
        </w:rPr>
        <w:instrText xml:space="preserve"> REF _Ref489633762 \r \h </w:instrText>
      </w:r>
      <w:r w:rsidR="00765B77">
        <w:rPr>
          <w:sz w:val="20"/>
          <w:szCs w:val="20"/>
        </w:rPr>
      </w:r>
      <w:r w:rsidR="00765B77">
        <w:rPr>
          <w:sz w:val="20"/>
          <w:szCs w:val="20"/>
        </w:rPr>
        <w:fldChar w:fldCharType="separate"/>
      </w:r>
      <w:r w:rsidR="00467871">
        <w:rPr>
          <w:sz w:val="20"/>
          <w:szCs w:val="20"/>
        </w:rPr>
        <w:t>[10]</w:t>
      </w:r>
      <w:r w:rsidR="00765B77">
        <w:rPr>
          <w:sz w:val="20"/>
          <w:szCs w:val="20"/>
        </w:rPr>
        <w:fldChar w:fldCharType="end"/>
      </w:r>
      <w:r w:rsidR="00765B77">
        <w:rPr>
          <w:sz w:val="20"/>
          <w:szCs w:val="20"/>
        </w:rPr>
        <w:fldChar w:fldCharType="begin"/>
      </w:r>
      <w:r w:rsidR="00765B77">
        <w:rPr>
          <w:sz w:val="20"/>
          <w:szCs w:val="20"/>
        </w:rPr>
        <w:instrText xml:space="preserve"> REF _Ref489634035 \r \h </w:instrText>
      </w:r>
      <w:r w:rsidR="00765B77">
        <w:rPr>
          <w:sz w:val="20"/>
          <w:szCs w:val="20"/>
        </w:rPr>
      </w:r>
      <w:r w:rsidR="00765B77">
        <w:rPr>
          <w:sz w:val="20"/>
          <w:szCs w:val="20"/>
        </w:rPr>
        <w:fldChar w:fldCharType="separate"/>
      </w:r>
      <w:r w:rsidR="00467871">
        <w:rPr>
          <w:sz w:val="20"/>
          <w:szCs w:val="20"/>
        </w:rPr>
        <w:t>[12]</w:t>
      </w:r>
      <w:r w:rsidR="00765B77">
        <w:rPr>
          <w:sz w:val="20"/>
          <w:szCs w:val="20"/>
        </w:rPr>
        <w:fldChar w:fldCharType="end"/>
      </w:r>
      <w:r>
        <w:rPr>
          <w:sz w:val="20"/>
          <w:szCs w:val="20"/>
        </w:rPr>
        <w:t>.</w:t>
      </w:r>
    </w:p>
    <w:p w14:paraId="58279BFF" w14:textId="0A97072F" w:rsidR="00AB3221" w:rsidRDefault="00DD2BA6" w:rsidP="009C40B4">
      <w:pPr>
        <w:pStyle w:val="BodyText"/>
        <w:spacing w:before="240" w:after="240"/>
        <w:jc w:val="both"/>
        <w:rPr>
          <w:sz w:val="20"/>
          <w:szCs w:val="20"/>
          <w:lang w:val="en-GB"/>
        </w:rPr>
      </w:pPr>
      <w:r>
        <w:rPr>
          <w:sz w:val="20"/>
          <w:szCs w:val="20"/>
          <w:lang w:val="en-GB"/>
        </w:rPr>
        <w:t>Based on various simulation results, the two Alamouti schemes</w:t>
      </w:r>
      <w:r w:rsidR="00B66902">
        <w:rPr>
          <w:sz w:val="20"/>
          <w:szCs w:val="20"/>
          <w:lang w:val="en-GB"/>
        </w:rPr>
        <w:t>, i.e., Alamouti STBC and Alamouti SFBC</w:t>
      </w:r>
      <w:r w:rsidR="00B83442">
        <w:rPr>
          <w:sz w:val="20"/>
          <w:szCs w:val="20"/>
          <w:lang w:val="en-GB"/>
        </w:rPr>
        <w:t>,</w:t>
      </w:r>
      <w:r>
        <w:rPr>
          <w:sz w:val="20"/>
          <w:szCs w:val="20"/>
          <w:lang w:val="en-GB"/>
        </w:rPr>
        <w:t xml:space="preserve"> are</w:t>
      </w:r>
      <w:r w:rsidR="00B66902">
        <w:rPr>
          <w:sz w:val="20"/>
          <w:szCs w:val="20"/>
          <w:lang w:val="en-GB"/>
        </w:rPr>
        <w:t xml:space="preserve"> considered as promising candidates for PSSCH transmission.</w:t>
      </w:r>
      <w:r>
        <w:rPr>
          <w:sz w:val="20"/>
          <w:szCs w:val="20"/>
          <w:lang w:val="en-GB"/>
        </w:rPr>
        <w:t xml:space="preserve"> </w:t>
      </w:r>
      <w:r w:rsidR="004D3AE4">
        <w:rPr>
          <w:sz w:val="20"/>
          <w:szCs w:val="20"/>
          <w:lang w:val="en-GB"/>
        </w:rPr>
        <w:t xml:space="preserve">Alamouti STBC scheme is shown in </w:t>
      </w:r>
      <w:r w:rsidR="00C6213C">
        <w:rPr>
          <w:sz w:val="20"/>
          <w:szCs w:val="20"/>
          <w:lang w:val="en-GB"/>
        </w:rPr>
        <w:fldChar w:fldCharType="begin"/>
      </w:r>
      <w:r w:rsidR="00C6213C">
        <w:rPr>
          <w:sz w:val="20"/>
          <w:szCs w:val="20"/>
          <w:lang w:val="en-GB"/>
        </w:rPr>
        <w:instrText xml:space="preserve"> REF _Ref489963532 \h  \* MERGEFORMAT </w:instrText>
      </w:r>
      <w:r w:rsidR="00C6213C">
        <w:rPr>
          <w:sz w:val="20"/>
          <w:szCs w:val="20"/>
          <w:lang w:val="en-GB"/>
        </w:rPr>
      </w:r>
      <w:r w:rsidR="00C6213C">
        <w:rPr>
          <w:sz w:val="20"/>
          <w:szCs w:val="20"/>
          <w:lang w:val="en-GB"/>
        </w:rPr>
        <w:fldChar w:fldCharType="separate"/>
      </w:r>
      <w:r w:rsidR="00467871" w:rsidRPr="00467871">
        <w:rPr>
          <w:sz w:val="20"/>
          <w:szCs w:val="20"/>
          <w:lang w:val="en-GB"/>
        </w:rPr>
        <w:t>Figure 3</w:t>
      </w:r>
      <w:r w:rsidR="00C6213C">
        <w:rPr>
          <w:sz w:val="20"/>
          <w:szCs w:val="20"/>
          <w:lang w:val="en-GB"/>
        </w:rPr>
        <w:fldChar w:fldCharType="end"/>
      </w:r>
      <w:r w:rsidR="00C6213C">
        <w:rPr>
          <w:sz w:val="20"/>
          <w:szCs w:val="20"/>
          <w:lang w:val="en-GB"/>
        </w:rPr>
        <w:t xml:space="preserve">, </w:t>
      </w:r>
      <w:r w:rsidR="00C27DD0">
        <w:rPr>
          <w:sz w:val="20"/>
          <w:szCs w:val="20"/>
          <w:lang w:val="en-GB"/>
        </w:rPr>
        <w:t>where the two paired</w:t>
      </w:r>
      <w:r w:rsidR="002C69B2">
        <w:rPr>
          <w:sz w:val="20"/>
          <w:szCs w:val="20"/>
          <w:lang w:val="en-GB"/>
        </w:rPr>
        <w:t xml:space="preserve"> symbols can be either adjacent or non-adjacent in a subframe as illustrated in </w:t>
      </w:r>
      <w:r w:rsidR="00C6213C">
        <w:rPr>
          <w:sz w:val="20"/>
          <w:szCs w:val="20"/>
          <w:lang w:val="en-GB"/>
        </w:rPr>
        <w:fldChar w:fldCharType="begin"/>
      </w:r>
      <w:r w:rsidR="00C6213C">
        <w:rPr>
          <w:sz w:val="20"/>
          <w:szCs w:val="20"/>
          <w:lang w:val="en-GB"/>
        </w:rPr>
        <w:instrText xml:space="preserve"> REF _Ref489963604 \h  \* MERGEFORMAT </w:instrText>
      </w:r>
      <w:r w:rsidR="00C6213C">
        <w:rPr>
          <w:sz w:val="20"/>
          <w:szCs w:val="20"/>
          <w:lang w:val="en-GB"/>
        </w:rPr>
      </w:r>
      <w:r w:rsidR="00C6213C">
        <w:rPr>
          <w:sz w:val="20"/>
          <w:szCs w:val="20"/>
          <w:lang w:val="en-GB"/>
        </w:rPr>
        <w:fldChar w:fldCharType="separate"/>
      </w:r>
      <w:r w:rsidR="00467871" w:rsidRPr="00467871">
        <w:rPr>
          <w:sz w:val="20"/>
          <w:szCs w:val="20"/>
          <w:lang w:val="en-GB"/>
        </w:rPr>
        <w:t>Figure 4</w:t>
      </w:r>
      <w:r w:rsidR="00C6213C">
        <w:rPr>
          <w:sz w:val="20"/>
          <w:szCs w:val="20"/>
          <w:lang w:val="en-GB"/>
        </w:rPr>
        <w:fldChar w:fldCharType="end"/>
      </w:r>
      <w:r w:rsidR="00C818AB">
        <w:rPr>
          <w:sz w:val="20"/>
          <w:szCs w:val="20"/>
          <w:lang w:val="en-GB"/>
        </w:rPr>
        <w:t>.</w:t>
      </w:r>
    </w:p>
    <w:p w14:paraId="0FB64219" w14:textId="32B54DB2" w:rsidR="004D3AE4" w:rsidRDefault="004D3AE4" w:rsidP="00C27DD0">
      <w:pPr>
        <w:pStyle w:val="BodyText"/>
        <w:spacing w:before="240" w:after="240"/>
        <w:jc w:val="center"/>
        <w:rPr>
          <w:sz w:val="20"/>
          <w:szCs w:val="20"/>
          <w:lang w:val="en-GB"/>
        </w:rPr>
      </w:pPr>
      <w:r>
        <w:rPr>
          <w:noProof/>
          <w:sz w:val="20"/>
          <w:szCs w:val="20"/>
        </w:rPr>
        <w:drawing>
          <wp:inline distT="0" distB="0" distL="0" distR="0" wp14:anchorId="70727CE1" wp14:editId="21CF50D1">
            <wp:extent cx="4411683" cy="17138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BC.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30030" cy="1720991"/>
                    </a:xfrm>
                    <a:prstGeom prst="rect">
                      <a:avLst/>
                    </a:prstGeom>
                  </pic:spPr>
                </pic:pic>
              </a:graphicData>
            </a:graphic>
          </wp:inline>
        </w:drawing>
      </w:r>
    </w:p>
    <w:p w14:paraId="7D38C1A6" w14:textId="6C6FA07A" w:rsidR="00B66902" w:rsidRDefault="00C6213C" w:rsidP="00C6213C">
      <w:pPr>
        <w:pStyle w:val="Caption"/>
        <w:jc w:val="center"/>
        <w:rPr>
          <w:b w:val="0"/>
        </w:rPr>
      </w:pPr>
      <w:bookmarkStart w:id="7" w:name="_Ref489963532"/>
      <w:r w:rsidRPr="00C6213C">
        <w:rPr>
          <w:b w:val="0"/>
        </w:rPr>
        <w:t xml:space="preserve">Figure </w:t>
      </w:r>
      <w:r w:rsidRPr="00C6213C">
        <w:rPr>
          <w:b w:val="0"/>
        </w:rPr>
        <w:fldChar w:fldCharType="begin"/>
      </w:r>
      <w:r w:rsidRPr="00C6213C">
        <w:rPr>
          <w:b w:val="0"/>
        </w:rPr>
        <w:instrText xml:space="preserve"> SEQ Figure \* ARABIC </w:instrText>
      </w:r>
      <w:r w:rsidRPr="00C6213C">
        <w:rPr>
          <w:b w:val="0"/>
        </w:rPr>
        <w:fldChar w:fldCharType="separate"/>
      </w:r>
      <w:r w:rsidR="00467871">
        <w:rPr>
          <w:b w:val="0"/>
          <w:noProof/>
        </w:rPr>
        <w:t>3</w:t>
      </w:r>
      <w:r w:rsidRPr="00C6213C">
        <w:rPr>
          <w:b w:val="0"/>
        </w:rPr>
        <w:fldChar w:fldCharType="end"/>
      </w:r>
      <w:bookmarkEnd w:id="7"/>
      <w:r w:rsidR="00B66902" w:rsidRPr="00123520">
        <w:rPr>
          <w:b w:val="0"/>
        </w:rPr>
        <w:t xml:space="preserve">. </w:t>
      </w:r>
      <w:r w:rsidR="00B66902">
        <w:rPr>
          <w:b w:val="0"/>
        </w:rPr>
        <w:t>Alamouti STBC</w:t>
      </w:r>
    </w:p>
    <w:p w14:paraId="2344D745" w14:textId="77777777" w:rsidR="00B66902" w:rsidRPr="00B66902" w:rsidRDefault="00B66902" w:rsidP="00B66902"/>
    <w:p w14:paraId="6BA994B9" w14:textId="65D22731" w:rsidR="00A32907" w:rsidRDefault="000A4176" w:rsidP="000A4176">
      <w:pPr>
        <w:pStyle w:val="BodyText"/>
        <w:spacing w:before="240" w:after="240"/>
        <w:jc w:val="center"/>
        <w:rPr>
          <w:sz w:val="20"/>
          <w:szCs w:val="20"/>
          <w:lang w:val="en-GB"/>
        </w:rPr>
      </w:pPr>
      <w:r>
        <w:rPr>
          <w:noProof/>
          <w:sz w:val="20"/>
          <w:szCs w:val="20"/>
        </w:rPr>
        <w:drawing>
          <wp:inline distT="0" distB="0" distL="0" distR="0" wp14:anchorId="5EABB00A" wp14:editId="1ACD691F">
            <wp:extent cx="3390405" cy="1466434"/>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BC_adjacent.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02173" cy="1471524"/>
                    </a:xfrm>
                    <a:prstGeom prst="rect">
                      <a:avLst/>
                    </a:prstGeom>
                  </pic:spPr>
                </pic:pic>
              </a:graphicData>
            </a:graphic>
          </wp:inline>
        </w:drawing>
      </w:r>
    </w:p>
    <w:p w14:paraId="4A367990" w14:textId="5B00A905" w:rsidR="00D978A7" w:rsidRDefault="00D978A7" w:rsidP="000A4176">
      <w:pPr>
        <w:pStyle w:val="BodyText"/>
        <w:spacing w:before="240" w:after="240"/>
        <w:jc w:val="center"/>
        <w:rPr>
          <w:sz w:val="20"/>
          <w:szCs w:val="20"/>
          <w:lang w:val="en-GB"/>
        </w:rPr>
      </w:pPr>
      <w:r>
        <w:rPr>
          <w:sz w:val="20"/>
          <w:szCs w:val="20"/>
          <w:lang w:val="en-GB"/>
        </w:rPr>
        <w:lastRenderedPageBreak/>
        <w:t>(a)</w:t>
      </w:r>
    </w:p>
    <w:p w14:paraId="43610AB8" w14:textId="25BA361A" w:rsidR="00D978A7" w:rsidRDefault="00D978A7" w:rsidP="000A4176">
      <w:pPr>
        <w:pStyle w:val="BodyText"/>
        <w:spacing w:before="240" w:after="240"/>
        <w:jc w:val="center"/>
        <w:rPr>
          <w:sz w:val="20"/>
          <w:szCs w:val="20"/>
          <w:lang w:val="en-GB"/>
        </w:rPr>
      </w:pPr>
      <w:r>
        <w:rPr>
          <w:noProof/>
          <w:sz w:val="20"/>
          <w:szCs w:val="20"/>
        </w:rPr>
        <w:drawing>
          <wp:inline distT="0" distB="0" distL="0" distR="0" wp14:anchorId="457BE5AD" wp14:editId="4581F5A9">
            <wp:extent cx="3491346" cy="15230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TBC_nonadjacent.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01418" cy="1527414"/>
                    </a:xfrm>
                    <a:prstGeom prst="rect">
                      <a:avLst/>
                    </a:prstGeom>
                  </pic:spPr>
                </pic:pic>
              </a:graphicData>
            </a:graphic>
          </wp:inline>
        </w:drawing>
      </w:r>
    </w:p>
    <w:p w14:paraId="73BA57E3" w14:textId="772A17FD" w:rsidR="00D978A7" w:rsidRDefault="00D978A7" w:rsidP="000A4176">
      <w:pPr>
        <w:pStyle w:val="BodyText"/>
        <w:spacing w:before="240" w:after="240"/>
        <w:jc w:val="center"/>
        <w:rPr>
          <w:sz w:val="20"/>
          <w:szCs w:val="20"/>
          <w:lang w:val="en-GB"/>
        </w:rPr>
      </w:pPr>
      <w:r>
        <w:rPr>
          <w:sz w:val="20"/>
          <w:szCs w:val="20"/>
          <w:lang w:val="en-GB"/>
        </w:rPr>
        <w:t>(b)</w:t>
      </w:r>
    </w:p>
    <w:p w14:paraId="144712EB" w14:textId="344A12D2" w:rsidR="000A4176" w:rsidRDefault="00C6213C" w:rsidP="00C6213C">
      <w:pPr>
        <w:pStyle w:val="Caption"/>
        <w:jc w:val="center"/>
        <w:rPr>
          <w:b w:val="0"/>
        </w:rPr>
      </w:pPr>
      <w:bookmarkStart w:id="8" w:name="_Ref489963604"/>
      <w:r w:rsidRPr="00C6213C">
        <w:rPr>
          <w:b w:val="0"/>
        </w:rPr>
        <w:t xml:space="preserve">Figure </w:t>
      </w:r>
      <w:r w:rsidRPr="00C6213C">
        <w:rPr>
          <w:b w:val="0"/>
        </w:rPr>
        <w:fldChar w:fldCharType="begin"/>
      </w:r>
      <w:r w:rsidRPr="00C6213C">
        <w:rPr>
          <w:b w:val="0"/>
        </w:rPr>
        <w:instrText xml:space="preserve"> SEQ Figure \* ARABIC </w:instrText>
      </w:r>
      <w:r w:rsidRPr="00C6213C">
        <w:rPr>
          <w:b w:val="0"/>
        </w:rPr>
        <w:fldChar w:fldCharType="separate"/>
      </w:r>
      <w:r w:rsidR="00467871">
        <w:rPr>
          <w:b w:val="0"/>
          <w:noProof/>
        </w:rPr>
        <w:t>4</w:t>
      </w:r>
      <w:r w:rsidRPr="00C6213C">
        <w:rPr>
          <w:b w:val="0"/>
        </w:rPr>
        <w:fldChar w:fldCharType="end"/>
      </w:r>
      <w:bookmarkEnd w:id="8"/>
      <w:r w:rsidR="000A4176" w:rsidRPr="00123520">
        <w:rPr>
          <w:b w:val="0"/>
        </w:rPr>
        <w:t xml:space="preserve">. </w:t>
      </w:r>
      <w:r w:rsidR="00D978A7">
        <w:rPr>
          <w:b w:val="0"/>
        </w:rPr>
        <w:t>Paired STBC symbols in a subframe: (a) pairing of adjacent symbols; (b) pairing of non-adjacent symbols</w:t>
      </w:r>
    </w:p>
    <w:p w14:paraId="62222B5D" w14:textId="0BDFCA43" w:rsidR="00B8545D" w:rsidRDefault="00C818AB" w:rsidP="005F7FDA">
      <w:pPr>
        <w:pStyle w:val="BodyText"/>
        <w:spacing w:before="240" w:after="240"/>
        <w:jc w:val="both"/>
        <w:rPr>
          <w:sz w:val="20"/>
          <w:szCs w:val="20"/>
          <w:lang w:val="en-GB"/>
        </w:rPr>
      </w:pPr>
      <w:r>
        <w:rPr>
          <w:sz w:val="20"/>
          <w:szCs w:val="20"/>
          <w:lang w:val="en-GB"/>
        </w:rPr>
        <w:t>Alamouti SFBC scheme is shown in</w:t>
      </w:r>
      <w:r w:rsidR="00C6213C">
        <w:rPr>
          <w:sz w:val="20"/>
          <w:szCs w:val="20"/>
          <w:lang w:val="en-GB"/>
        </w:rPr>
        <w:t xml:space="preserve"> </w:t>
      </w:r>
      <w:r w:rsidR="00C6213C">
        <w:rPr>
          <w:sz w:val="20"/>
          <w:szCs w:val="20"/>
          <w:lang w:val="en-GB"/>
        </w:rPr>
        <w:fldChar w:fldCharType="begin"/>
      </w:r>
      <w:r w:rsidR="00C6213C">
        <w:rPr>
          <w:sz w:val="20"/>
          <w:szCs w:val="20"/>
          <w:lang w:val="en-GB"/>
        </w:rPr>
        <w:instrText xml:space="preserve"> REF _Ref489963658 \h  \* MERGEFORMAT </w:instrText>
      </w:r>
      <w:r w:rsidR="00C6213C">
        <w:rPr>
          <w:sz w:val="20"/>
          <w:szCs w:val="20"/>
          <w:lang w:val="en-GB"/>
        </w:rPr>
      </w:r>
      <w:r w:rsidR="00C6213C">
        <w:rPr>
          <w:sz w:val="20"/>
          <w:szCs w:val="20"/>
          <w:lang w:val="en-GB"/>
        </w:rPr>
        <w:fldChar w:fldCharType="separate"/>
      </w:r>
      <w:r w:rsidR="00467871" w:rsidRPr="00467871">
        <w:rPr>
          <w:sz w:val="20"/>
          <w:szCs w:val="20"/>
          <w:lang w:val="en-GB"/>
        </w:rPr>
        <w:t>Figure 5</w:t>
      </w:r>
      <w:r w:rsidR="00C6213C">
        <w:rPr>
          <w:sz w:val="20"/>
          <w:szCs w:val="20"/>
          <w:lang w:val="en-GB"/>
        </w:rPr>
        <w:fldChar w:fldCharType="end"/>
      </w:r>
      <w:r>
        <w:rPr>
          <w:sz w:val="20"/>
          <w:szCs w:val="20"/>
          <w:lang w:val="en-GB"/>
        </w:rPr>
        <w:t xml:space="preserve">. </w:t>
      </w:r>
      <w:r w:rsidR="004C7766">
        <w:rPr>
          <w:sz w:val="20"/>
          <w:szCs w:val="20"/>
          <w:lang w:val="en-GB"/>
        </w:rPr>
        <w:t xml:space="preserve">In conventional Alamouti SFBC, two adjacent subcarrier are used as the paired SFBC subcarriers, which may lead to slightly increased CM/PAPR characteristics, e.g., </w:t>
      </w:r>
      <w:r w:rsidR="00D61FEC">
        <w:rPr>
          <w:sz w:val="20"/>
          <w:szCs w:val="20"/>
          <w:lang w:val="en-GB"/>
        </w:rPr>
        <w:t>roughly</w:t>
      </w:r>
      <w:r w:rsidR="00606D00">
        <w:rPr>
          <w:sz w:val="20"/>
          <w:szCs w:val="20"/>
          <w:lang w:val="en-GB"/>
        </w:rPr>
        <w:t xml:space="preserve"> </w:t>
      </w:r>
      <w:r w:rsidR="004C7766" w:rsidRPr="005F7FDA">
        <w:rPr>
          <w:sz w:val="20"/>
          <w:szCs w:val="20"/>
          <w:lang w:val="en-GB"/>
        </w:rPr>
        <w:t>1dB</w:t>
      </w:r>
      <w:r w:rsidR="00A17A98">
        <w:rPr>
          <w:sz w:val="20"/>
          <w:szCs w:val="20"/>
          <w:lang w:val="en-GB"/>
        </w:rPr>
        <w:t xml:space="preserve"> </w:t>
      </w:r>
      <w:r w:rsidR="00765B77">
        <w:rPr>
          <w:sz w:val="20"/>
          <w:szCs w:val="20"/>
          <w:lang w:val="en-GB"/>
        </w:rPr>
        <w:fldChar w:fldCharType="begin"/>
      </w:r>
      <w:r w:rsidR="00765B77">
        <w:rPr>
          <w:sz w:val="20"/>
          <w:szCs w:val="20"/>
          <w:lang w:val="en-GB"/>
        </w:rPr>
        <w:instrText xml:space="preserve"> REF _Ref494461273 \r \h </w:instrText>
      </w:r>
      <w:r w:rsidR="00765B77">
        <w:rPr>
          <w:sz w:val="20"/>
          <w:szCs w:val="20"/>
          <w:lang w:val="en-GB"/>
        </w:rPr>
      </w:r>
      <w:r w:rsidR="00765B77">
        <w:rPr>
          <w:sz w:val="20"/>
          <w:szCs w:val="20"/>
          <w:lang w:val="en-GB"/>
        </w:rPr>
        <w:fldChar w:fldCharType="separate"/>
      </w:r>
      <w:r w:rsidR="00467871">
        <w:rPr>
          <w:sz w:val="20"/>
          <w:szCs w:val="20"/>
          <w:lang w:val="en-GB"/>
        </w:rPr>
        <w:t>[13]</w:t>
      </w:r>
      <w:r w:rsidR="00765B77">
        <w:rPr>
          <w:sz w:val="20"/>
          <w:szCs w:val="20"/>
          <w:lang w:val="en-GB"/>
        </w:rPr>
        <w:fldChar w:fldCharType="end"/>
      </w:r>
      <w:r w:rsidR="004C7766" w:rsidRPr="005F7FDA">
        <w:rPr>
          <w:sz w:val="20"/>
          <w:szCs w:val="20"/>
          <w:lang w:val="en-GB"/>
        </w:rPr>
        <w:t>.</w:t>
      </w:r>
      <w:r w:rsidR="00DF313A">
        <w:rPr>
          <w:sz w:val="20"/>
          <w:szCs w:val="20"/>
          <w:lang w:val="en-GB"/>
        </w:rPr>
        <w:t xml:space="preserve"> </w:t>
      </w:r>
      <w:r w:rsidR="00E91A29">
        <w:rPr>
          <w:sz w:val="20"/>
          <w:szCs w:val="20"/>
        </w:rPr>
        <w:t>Nevertheless</w:t>
      </w:r>
      <w:r w:rsidR="00B8545D">
        <w:rPr>
          <w:sz w:val="20"/>
          <w:szCs w:val="20"/>
        </w:rPr>
        <w:t xml:space="preserve">, as already stated in </w:t>
      </w:r>
      <w:r w:rsidR="00765B77">
        <w:rPr>
          <w:sz w:val="20"/>
          <w:szCs w:val="20"/>
        </w:rPr>
        <w:fldChar w:fldCharType="begin"/>
      </w:r>
      <w:r w:rsidR="00765B77">
        <w:rPr>
          <w:sz w:val="20"/>
          <w:szCs w:val="20"/>
        </w:rPr>
        <w:instrText xml:space="preserve"> REF _Ref494461297 \r \h </w:instrText>
      </w:r>
      <w:r w:rsidR="00765B77">
        <w:rPr>
          <w:sz w:val="20"/>
          <w:szCs w:val="20"/>
        </w:rPr>
      </w:r>
      <w:r w:rsidR="00765B77">
        <w:rPr>
          <w:sz w:val="20"/>
          <w:szCs w:val="20"/>
        </w:rPr>
        <w:fldChar w:fldCharType="separate"/>
      </w:r>
      <w:r w:rsidR="00467871">
        <w:rPr>
          <w:sz w:val="20"/>
          <w:szCs w:val="20"/>
        </w:rPr>
        <w:t>[14]</w:t>
      </w:r>
      <w:r w:rsidR="00765B77">
        <w:rPr>
          <w:sz w:val="20"/>
          <w:szCs w:val="20"/>
        </w:rPr>
        <w:fldChar w:fldCharType="end"/>
      </w:r>
      <w:r w:rsidR="00B8545D" w:rsidRPr="00031BCF">
        <w:rPr>
          <w:sz w:val="20"/>
          <w:szCs w:val="20"/>
        </w:rPr>
        <w:t>,</w:t>
      </w:r>
      <w:r w:rsidR="00B8545D">
        <w:rPr>
          <w:sz w:val="20"/>
          <w:szCs w:val="20"/>
        </w:rPr>
        <w:t xml:space="preserve"> </w:t>
      </w:r>
      <w:r w:rsidR="00B8545D" w:rsidRPr="0047075C">
        <w:rPr>
          <w:i/>
          <w:sz w:val="20"/>
          <w:szCs w:val="20"/>
        </w:rPr>
        <w:t>it</w:t>
      </w:r>
      <w:r w:rsidR="00B8545D" w:rsidRPr="0047075C">
        <w:rPr>
          <w:i/>
          <w:sz w:val="20"/>
          <w:szCs w:val="20"/>
          <w:lang w:val="en-GB"/>
        </w:rPr>
        <w:t xml:space="preserve"> should be noted that difference in CM of TxD schemes with respect to the single antenna port does not give a full picture, given that if multiple antenna ports are used the max transmit power per antenna port is scaled down by X dB, where X = 3dB for the case of two TX antennas. Hence, in case of TxD scheme with two antenna ports, the transmit power per antenna port is 3dB less with respect to single antenna port that can relax CM requirements</w:t>
      </w:r>
      <w:r w:rsidR="00B8545D">
        <w:rPr>
          <w:sz w:val="20"/>
          <w:szCs w:val="20"/>
          <w:lang w:val="en-GB"/>
        </w:rPr>
        <w:t>.</w:t>
      </w:r>
      <w:r w:rsidR="00E91A29">
        <w:rPr>
          <w:sz w:val="20"/>
          <w:szCs w:val="20"/>
          <w:lang w:val="en-GB"/>
        </w:rPr>
        <w:t xml:space="preserve"> Hence, the CM increase of SFBC is in general not significant and can probably be compensated in practice by the power reduction of the two-antenna transmission.</w:t>
      </w:r>
    </w:p>
    <w:p w14:paraId="0856113E" w14:textId="161D4687" w:rsidR="00C818AB" w:rsidRDefault="00E91A29" w:rsidP="005F7FDA">
      <w:pPr>
        <w:pStyle w:val="BodyText"/>
        <w:spacing w:before="240" w:after="240"/>
        <w:jc w:val="both"/>
        <w:rPr>
          <w:sz w:val="20"/>
          <w:szCs w:val="20"/>
          <w:lang w:val="en-GB"/>
        </w:rPr>
      </w:pPr>
      <w:r>
        <w:rPr>
          <w:sz w:val="20"/>
          <w:szCs w:val="20"/>
          <w:lang w:val="en-GB"/>
        </w:rPr>
        <w:t>On the other hand</w:t>
      </w:r>
      <w:r w:rsidR="00DF313A">
        <w:rPr>
          <w:sz w:val="20"/>
          <w:szCs w:val="20"/>
          <w:lang w:val="en-GB"/>
        </w:rPr>
        <w:t xml:space="preserve">, a variant of SFBC has also been proposed in </w:t>
      </w:r>
      <w:r w:rsidR="00765B77">
        <w:rPr>
          <w:sz w:val="20"/>
          <w:szCs w:val="20"/>
          <w:lang w:val="en-GB"/>
        </w:rPr>
        <w:fldChar w:fldCharType="begin"/>
      </w:r>
      <w:r w:rsidR="00765B77">
        <w:rPr>
          <w:sz w:val="20"/>
          <w:szCs w:val="20"/>
          <w:lang w:val="en-GB"/>
        </w:rPr>
        <w:instrText xml:space="preserve"> REF _Ref494461314 \r \h </w:instrText>
      </w:r>
      <w:r w:rsidR="00765B77">
        <w:rPr>
          <w:sz w:val="20"/>
          <w:szCs w:val="20"/>
          <w:lang w:val="en-GB"/>
        </w:rPr>
      </w:r>
      <w:r w:rsidR="00765B77">
        <w:rPr>
          <w:sz w:val="20"/>
          <w:szCs w:val="20"/>
          <w:lang w:val="en-GB"/>
        </w:rPr>
        <w:fldChar w:fldCharType="separate"/>
      </w:r>
      <w:r w:rsidR="00467871">
        <w:rPr>
          <w:sz w:val="20"/>
          <w:szCs w:val="20"/>
          <w:lang w:val="en-GB"/>
        </w:rPr>
        <w:t>[15]</w:t>
      </w:r>
      <w:r w:rsidR="00765B77">
        <w:rPr>
          <w:sz w:val="20"/>
          <w:szCs w:val="20"/>
          <w:lang w:val="en-GB"/>
        </w:rPr>
        <w:fldChar w:fldCharType="end"/>
      </w:r>
      <w:r w:rsidR="00DF313A" w:rsidRPr="00C6213C">
        <w:rPr>
          <w:sz w:val="20"/>
          <w:szCs w:val="20"/>
          <w:lang w:val="en-GB"/>
        </w:rPr>
        <w:t>,</w:t>
      </w:r>
      <w:r w:rsidR="00DF313A">
        <w:rPr>
          <w:sz w:val="20"/>
          <w:szCs w:val="20"/>
          <w:lang w:val="en-GB"/>
        </w:rPr>
        <w:t xml:space="preserve"> where Alamouti precoded symbols are mapped onto non-adjacent subcarriers in such a way that CM/PAPR is preserved compared to single antenna port. The comparison between different variants of Alamouti SFBC schemes needs further studies </w:t>
      </w:r>
      <w:r w:rsidR="00EF4460">
        <w:rPr>
          <w:sz w:val="20"/>
          <w:szCs w:val="20"/>
          <w:lang w:val="en-GB"/>
        </w:rPr>
        <w:t>under the consideration of</w:t>
      </w:r>
      <w:r w:rsidR="00DF313A">
        <w:rPr>
          <w:sz w:val="20"/>
          <w:szCs w:val="20"/>
          <w:lang w:val="en-GB"/>
        </w:rPr>
        <w:t xml:space="preserve"> different channel bandwidth and different channel conditions (e.g., different delay spreads).</w:t>
      </w:r>
    </w:p>
    <w:p w14:paraId="7009C33C" w14:textId="5CF71300" w:rsidR="00C818AB" w:rsidRDefault="00C818AB" w:rsidP="00C818AB">
      <w:pPr>
        <w:pStyle w:val="BodyText"/>
        <w:spacing w:before="240" w:after="240"/>
        <w:jc w:val="center"/>
        <w:rPr>
          <w:sz w:val="20"/>
          <w:szCs w:val="20"/>
          <w:lang w:val="en-GB"/>
        </w:rPr>
      </w:pPr>
      <w:r>
        <w:rPr>
          <w:noProof/>
          <w:sz w:val="20"/>
          <w:szCs w:val="20"/>
        </w:rPr>
        <w:drawing>
          <wp:inline distT="0" distB="0" distL="0" distR="0" wp14:anchorId="6DEE7993" wp14:editId="7C0C9C9D">
            <wp:extent cx="4055424" cy="13194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FBC.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72542" cy="1324974"/>
                    </a:xfrm>
                    <a:prstGeom prst="rect">
                      <a:avLst/>
                    </a:prstGeom>
                  </pic:spPr>
                </pic:pic>
              </a:graphicData>
            </a:graphic>
          </wp:inline>
        </w:drawing>
      </w:r>
    </w:p>
    <w:p w14:paraId="0DA0CD95" w14:textId="3D979AC4" w:rsidR="00DF313A" w:rsidRPr="00DF313A" w:rsidRDefault="00C6213C" w:rsidP="00C6213C">
      <w:pPr>
        <w:pStyle w:val="Caption"/>
        <w:jc w:val="center"/>
        <w:rPr>
          <w:b w:val="0"/>
        </w:rPr>
      </w:pPr>
      <w:bookmarkStart w:id="9" w:name="_Ref489963658"/>
      <w:r w:rsidRPr="00C6213C">
        <w:rPr>
          <w:b w:val="0"/>
        </w:rPr>
        <w:t xml:space="preserve">Figure </w:t>
      </w:r>
      <w:r w:rsidRPr="00C6213C">
        <w:rPr>
          <w:b w:val="0"/>
        </w:rPr>
        <w:fldChar w:fldCharType="begin"/>
      </w:r>
      <w:r w:rsidRPr="00C6213C">
        <w:rPr>
          <w:b w:val="0"/>
        </w:rPr>
        <w:instrText xml:space="preserve"> SEQ Figure \* ARABIC </w:instrText>
      </w:r>
      <w:r w:rsidRPr="00C6213C">
        <w:rPr>
          <w:b w:val="0"/>
        </w:rPr>
        <w:fldChar w:fldCharType="separate"/>
      </w:r>
      <w:r w:rsidR="00467871">
        <w:rPr>
          <w:b w:val="0"/>
          <w:noProof/>
        </w:rPr>
        <w:t>5</w:t>
      </w:r>
      <w:r w:rsidRPr="00C6213C">
        <w:rPr>
          <w:b w:val="0"/>
        </w:rPr>
        <w:fldChar w:fldCharType="end"/>
      </w:r>
      <w:bookmarkEnd w:id="9"/>
      <w:r>
        <w:rPr>
          <w:b w:val="0"/>
        </w:rPr>
        <w:t xml:space="preserve">. </w:t>
      </w:r>
      <w:r w:rsidR="00DF313A">
        <w:rPr>
          <w:b w:val="0"/>
        </w:rPr>
        <w:t>Alamouti SFBC</w:t>
      </w:r>
    </w:p>
    <w:p w14:paraId="518EF4A0" w14:textId="45345BBF" w:rsidR="00FD442D" w:rsidRDefault="00FD442D" w:rsidP="00765B77">
      <w:pPr>
        <w:tabs>
          <w:tab w:val="left" w:pos="1440"/>
        </w:tabs>
        <w:spacing w:before="240" w:after="0"/>
        <w:jc w:val="both"/>
      </w:pPr>
      <w:r>
        <w:t>One desirable property of the transmit diversity scheme is that it allows for simple and efficient implementations of advanced receivers. Alamouti SFBC, together with the DMRS structure proposed in</w:t>
      </w:r>
      <w:r w:rsidR="00D41F95">
        <w:t xml:space="preserve"> </w:t>
      </w:r>
      <w:r w:rsidR="00D41F95">
        <w:fldChar w:fldCharType="begin"/>
      </w:r>
      <w:r w:rsidR="00D41F95">
        <w:instrText xml:space="preserve"> REF _Ref494462115 \r \h </w:instrText>
      </w:r>
      <w:r w:rsidR="00D41F95">
        <w:fldChar w:fldCharType="separate"/>
      </w:r>
      <w:r w:rsidR="00D41F95">
        <w:t>[5]</w:t>
      </w:r>
      <w:r w:rsidR="00D41F95">
        <w:fldChar w:fldCharType="end"/>
      </w:r>
      <w:r>
        <w:t>, allows for simple implementation of the MMSE-IRC receiver in the following way:</w:t>
      </w:r>
    </w:p>
    <w:p w14:paraId="2A8056E6" w14:textId="0ADA7B51" w:rsidR="00FD442D" w:rsidRDefault="00FD442D" w:rsidP="00765B77">
      <w:pPr>
        <w:pStyle w:val="ListParagraph"/>
        <w:numPr>
          <w:ilvl w:val="0"/>
          <w:numId w:val="8"/>
        </w:numPr>
        <w:tabs>
          <w:tab w:val="left" w:pos="1440"/>
        </w:tabs>
        <w:jc w:val="both"/>
      </w:pPr>
      <w:r w:rsidRPr="00765B77">
        <w:rPr>
          <w:rFonts w:ascii="Times New Roman" w:hAnsi="Times New Roman" w:cs="Times New Roman"/>
          <w:sz w:val="20"/>
          <w:szCs w:val="20"/>
        </w:rPr>
        <w:t>Joint decoding of two RX antennas and two subcarriers (i.e., the pair of subcarriers used in SFBC).</w:t>
      </w:r>
    </w:p>
    <w:p w14:paraId="7AB98B71" w14:textId="103F2385" w:rsidR="00FD442D" w:rsidRPr="006333FF" w:rsidRDefault="00AD553E" w:rsidP="00765B77">
      <w:pPr>
        <w:pStyle w:val="ListParagraph"/>
        <w:numPr>
          <w:ilvl w:val="0"/>
          <w:numId w:val="8"/>
        </w:numPr>
        <w:tabs>
          <w:tab w:val="left" w:pos="1440"/>
        </w:tabs>
        <w:jc w:val="both"/>
      </w:pPr>
      <w:r>
        <w:rPr>
          <w:rFonts w:ascii="Times New Roman" w:hAnsi="Times New Roman" w:cs="Times New Roman"/>
          <w:sz w:val="20"/>
          <w:szCs w:val="20"/>
        </w:rPr>
        <w:t>Covariance matrix estimation (interference plus noise) using DMRS symbols.</w:t>
      </w:r>
    </w:p>
    <w:p w14:paraId="6F9DDA92" w14:textId="4D809C22" w:rsidR="00E91A29" w:rsidRPr="00FB29A1" w:rsidRDefault="00AD553E" w:rsidP="00765B77">
      <w:pPr>
        <w:tabs>
          <w:tab w:val="left" w:pos="1440"/>
        </w:tabs>
        <w:spacing w:before="240" w:after="0"/>
        <w:jc w:val="both"/>
      </w:pPr>
      <w:r>
        <w:t xml:space="preserve">Such a receiver operates in a 4-dimensional signal space. Consequently, it can decode a two-layer transmission </w:t>
      </w:r>
      <w:r w:rsidR="008F67FE">
        <w:t>while rejecting</w:t>
      </w:r>
      <w:r>
        <w:t xml:space="preserve"> a two-layer interferer. </w:t>
      </w:r>
      <w:r w:rsidR="00E024DC">
        <w:t>Details of the RX are presented in</w:t>
      </w:r>
      <w:r w:rsidR="00467871">
        <w:t xml:space="preserve"> </w:t>
      </w:r>
      <w:r w:rsidR="00467871">
        <w:fldChar w:fldCharType="begin"/>
      </w:r>
      <w:r w:rsidR="00467871">
        <w:instrText xml:space="preserve"> REF _Ref494462115 \r \h </w:instrText>
      </w:r>
      <w:r w:rsidR="00467871">
        <w:fldChar w:fldCharType="separate"/>
      </w:r>
      <w:r w:rsidR="00467871">
        <w:t>[5]</w:t>
      </w:r>
      <w:r w:rsidR="00467871">
        <w:fldChar w:fldCharType="end"/>
      </w:r>
      <w:r w:rsidR="00FB29A1">
        <w:t>.</w:t>
      </w:r>
    </w:p>
    <w:p w14:paraId="1F59BBFA" w14:textId="031CDFC2" w:rsidR="00795574" w:rsidRPr="006E39CD" w:rsidRDefault="00795574" w:rsidP="006E39CD">
      <w:pPr>
        <w:pStyle w:val="BodyText"/>
        <w:spacing w:before="240" w:after="240"/>
        <w:jc w:val="both"/>
        <w:rPr>
          <w:b/>
          <w:i/>
          <w:sz w:val="20"/>
          <w:szCs w:val="20"/>
        </w:rPr>
      </w:pPr>
      <w:r w:rsidRPr="006E39CD">
        <w:rPr>
          <w:b/>
          <w:i/>
          <w:sz w:val="20"/>
          <w:szCs w:val="20"/>
        </w:rPr>
        <w:t>Proposal</w:t>
      </w:r>
      <w:r w:rsidR="004352CB" w:rsidRPr="006E39CD">
        <w:rPr>
          <w:b/>
          <w:i/>
          <w:sz w:val="20"/>
          <w:szCs w:val="20"/>
        </w:rPr>
        <w:t xml:space="preserve"> </w:t>
      </w:r>
      <w:r w:rsidR="005B2244" w:rsidRPr="006E39CD">
        <w:rPr>
          <w:b/>
          <w:i/>
          <w:sz w:val="20"/>
          <w:szCs w:val="20"/>
        </w:rPr>
        <w:t>2</w:t>
      </w:r>
      <w:r w:rsidRPr="006E39CD">
        <w:rPr>
          <w:b/>
          <w:i/>
          <w:sz w:val="20"/>
          <w:szCs w:val="20"/>
        </w:rPr>
        <w:t xml:space="preserve">: </w:t>
      </w:r>
    </w:p>
    <w:p w14:paraId="6022D72A" w14:textId="39F332F1" w:rsidR="004D4D0A" w:rsidRPr="006E39CD" w:rsidRDefault="00D1045E" w:rsidP="006E39CD">
      <w:pPr>
        <w:pStyle w:val="ListParagraph"/>
        <w:numPr>
          <w:ilvl w:val="0"/>
          <w:numId w:val="19"/>
        </w:numPr>
        <w:rPr>
          <w:rFonts w:ascii="Times New Roman" w:hAnsi="Times New Roman" w:cs="Times New Roman"/>
          <w:b/>
          <w:i/>
          <w:sz w:val="20"/>
        </w:rPr>
      </w:pPr>
      <w:r w:rsidRPr="006E39CD">
        <w:rPr>
          <w:rFonts w:ascii="Times New Roman" w:hAnsi="Times New Roman" w:cs="Times New Roman"/>
          <w:b/>
          <w:i/>
          <w:sz w:val="20"/>
        </w:rPr>
        <w:t>Alamouti SFBC is used for two-port non-transparent transmit diversity</w:t>
      </w:r>
      <w:r w:rsidR="00350969">
        <w:rPr>
          <w:rFonts w:ascii="Times New Roman" w:hAnsi="Times New Roman" w:cs="Times New Roman"/>
          <w:b/>
          <w:i/>
          <w:sz w:val="20"/>
        </w:rPr>
        <w:t xml:space="preserve"> for PSSCH</w:t>
      </w:r>
      <w:r w:rsidRPr="006E39CD">
        <w:rPr>
          <w:rFonts w:ascii="Times New Roman" w:hAnsi="Times New Roman" w:cs="Times New Roman"/>
          <w:b/>
          <w:i/>
          <w:sz w:val="20"/>
        </w:rPr>
        <w:t>.</w:t>
      </w:r>
    </w:p>
    <w:p w14:paraId="73A6274D" w14:textId="6573068F" w:rsidR="001E15BC" w:rsidRDefault="007F7D93" w:rsidP="006E39CD">
      <w:pPr>
        <w:pStyle w:val="Heading3"/>
      </w:pPr>
      <w:r>
        <w:t>Restrictions on the use of transmit diversity</w:t>
      </w:r>
    </w:p>
    <w:p w14:paraId="096CC7BD" w14:textId="77777777" w:rsidR="00333556" w:rsidRPr="00A07604" w:rsidRDefault="007F7D93" w:rsidP="006E39CD">
      <w:pPr>
        <w:spacing w:after="0"/>
      </w:pPr>
      <w:r w:rsidRPr="00842C9C">
        <w:t>As captured above, RAN1 has agreed on restricting the utilization of transmit diversity in two cases</w:t>
      </w:r>
      <w:r w:rsidR="00333556" w:rsidRPr="00A07604">
        <w:t>:</w:t>
      </w:r>
    </w:p>
    <w:p w14:paraId="0F691AF1" w14:textId="6472B317" w:rsidR="00333556" w:rsidRPr="00842C9C" w:rsidRDefault="00333556" w:rsidP="006E39CD">
      <w:pPr>
        <w:pStyle w:val="ListParagraph"/>
        <w:numPr>
          <w:ilvl w:val="0"/>
          <w:numId w:val="8"/>
        </w:numPr>
        <w:spacing w:before="240"/>
      </w:pPr>
      <w:r w:rsidRPr="006E39CD">
        <w:rPr>
          <w:rFonts w:ascii="Times New Roman" w:hAnsi="Times New Roman" w:cs="Times New Roman"/>
          <w:sz w:val="20"/>
          <w:szCs w:val="20"/>
        </w:rPr>
        <w:t>When communicating with Rel-14 UEs</w:t>
      </w:r>
    </w:p>
    <w:p w14:paraId="08CF9017" w14:textId="68F1B0F9" w:rsidR="007F7D93" w:rsidRPr="006E39CD" w:rsidRDefault="00333556" w:rsidP="006E39CD">
      <w:pPr>
        <w:pStyle w:val="ListParagraph"/>
        <w:numPr>
          <w:ilvl w:val="0"/>
          <w:numId w:val="8"/>
        </w:numPr>
        <w:rPr>
          <w:sz w:val="20"/>
          <w:szCs w:val="20"/>
        </w:rPr>
      </w:pPr>
      <w:r w:rsidRPr="006E39CD">
        <w:rPr>
          <w:rFonts w:ascii="Times New Roman" w:hAnsi="Times New Roman" w:cs="Times New Roman"/>
          <w:sz w:val="20"/>
          <w:szCs w:val="20"/>
        </w:rPr>
        <w:t>When there is a high probability of resource collision with Rel-14 UEs</w:t>
      </w:r>
    </w:p>
    <w:p w14:paraId="75C29234" w14:textId="38AA98FE" w:rsidR="007F7D93" w:rsidRPr="00A07604" w:rsidRDefault="007F7D93" w:rsidP="006E39CD">
      <w:pPr>
        <w:spacing w:before="240"/>
        <w:jc w:val="both"/>
      </w:pPr>
      <w:r w:rsidRPr="00842C9C">
        <w:lastRenderedPageBreak/>
        <w:t xml:space="preserve">In our understanding, the correct choice of transmit diversity scheme when communicating a packet to Rel-14 UEs should proceeed as follows: </w:t>
      </w:r>
    </w:p>
    <w:p w14:paraId="03AC8410" w14:textId="1D743701" w:rsidR="007F7D93" w:rsidRPr="00842C9C" w:rsidRDefault="007F7D93" w:rsidP="006E39CD">
      <w:pPr>
        <w:pStyle w:val="ListParagraph"/>
        <w:numPr>
          <w:ilvl w:val="0"/>
          <w:numId w:val="8"/>
        </w:numPr>
        <w:jc w:val="both"/>
      </w:pPr>
      <w:r w:rsidRPr="006E39CD">
        <w:rPr>
          <w:rFonts w:ascii="Times New Roman" w:hAnsi="Times New Roman" w:cs="Times New Roman"/>
          <w:sz w:val="20"/>
          <w:szCs w:val="20"/>
        </w:rPr>
        <w:t>Higher layers (RAN2) are aware of the service associated with the packet (though L2 destination id).</w:t>
      </w:r>
    </w:p>
    <w:p w14:paraId="0C531456" w14:textId="15D8C92E" w:rsidR="007F7D93" w:rsidRPr="00842C9C" w:rsidRDefault="007F7D93" w:rsidP="006E39CD">
      <w:pPr>
        <w:pStyle w:val="ListParagraph"/>
        <w:numPr>
          <w:ilvl w:val="0"/>
          <w:numId w:val="8"/>
        </w:numPr>
        <w:jc w:val="both"/>
      </w:pPr>
      <w:r w:rsidRPr="006E39CD">
        <w:rPr>
          <w:rFonts w:ascii="Times New Roman" w:hAnsi="Times New Roman" w:cs="Times New Roman"/>
          <w:sz w:val="20"/>
          <w:szCs w:val="20"/>
        </w:rPr>
        <w:t>Higher layers (RAN2) select carrier, pool, transmission parameters, etc. that are compatible with the service associated with the packet. For example, higher layers would not select non-transparent for a service that should be received by Rel-14 UEs (e.g., safety).</w:t>
      </w:r>
    </w:p>
    <w:p w14:paraId="0B60765E" w14:textId="1926F134" w:rsidR="007F7D93" w:rsidRPr="006E39CD" w:rsidRDefault="007F7D93" w:rsidP="006E39CD">
      <w:pPr>
        <w:pStyle w:val="ListParagraph"/>
        <w:numPr>
          <w:ilvl w:val="0"/>
          <w:numId w:val="8"/>
        </w:numPr>
        <w:jc w:val="both"/>
        <w:rPr>
          <w:sz w:val="20"/>
          <w:szCs w:val="20"/>
        </w:rPr>
      </w:pPr>
      <w:r w:rsidRPr="006E39CD">
        <w:rPr>
          <w:rFonts w:ascii="Times New Roman" w:hAnsi="Times New Roman" w:cs="Times New Roman"/>
          <w:sz w:val="20"/>
          <w:szCs w:val="20"/>
        </w:rPr>
        <w:t>The PHY layer encodes the TB using the parameters received from higher layers and transmits the packet on the carrier selected by higher layer.</w:t>
      </w:r>
    </w:p>
    <w:p w14:paraId="37961757" w14:textId="215954BE" w:rsidR="007F7D93" w:rsidRPr="00842C9C" w:rsidRDefault="007F7D93" w:rsidP="006E39CD">
      <w:pPr>
        <w:spacing w:before="240"/>
        <w:rPr>
          <w:b/>
          <w:i/>
        </w:rPr>
      </w:pPr>
      <w:r w:rsidRPr="006E39CD">
        <w:rPr>
          <w:b/>
          <w:i/>
        </w:rPr>
        <w:t>Observation</w:t>
      </w:r>
      <w:r w:rsidR="00243A6B" w:rsidRPr="00842C9C">
        <w:rPr>
          <w:b/>
          <w:i/>
        </w:rPr>
        <w:t xml:space="preserve"> 1</w:t>
      </w:r>
      <w:r w:rsidRPr="006E39CD">
        <w:rPr>
          <w:b/>
          <w:i/>
        </w:rPr>
        <w:t>:</w:t>
      </w:r>
    </w:p>
    <w:p w14:paraId="4991ADC4" w14:textId="002A5B54" w:rsidR="00BE0BCF" w:rsidRPr="006E39CD" w:rsidRDefault="00BE0BCF" w:rsidP="006E39CD">
      <w:pPr>
        <w:pStyle w:val="ListParagraph"/>
        <w:numPr>
          <w:ilvl w:val="0"/>
          <w:numId w:val="18"/>
        </w:numPr>
        <w:spacing w:before="240"/>
        <w:rPr>
          <w:b/>
          <w:i/>
          <w:sz w:val="20"/>
          <w:szCs w:val="20"/>
        </w:rPr>
      </w:pPr>
      <w:r w:rsidRPr="006E39CD">
        <w:rPr>
          <w:rFonts w:ascii="Times New Roman" w:hAnsi="Times New Roman" w:cs="Times New Roman"/>
          <w:b/>
          <w:i/>
          <w:sz w:val="20"/>
          <w:szCs w:val="20"/>
        </w:rPr>
        <w:t>In the current framework, higher layers select transmission parameters that are compatible with the service associated with a packet.</w:t>
      </w:r>
    </w:p>
    <w:p w14:paraId="63FBEA5A" w14:textId="6971F4EF" w:rsidR="00BE0BCF" w:rsidRPr="00A07604" w:rsidRDefault="00BE0BCF" w:rsidP="006E39CD">
      <w:pPr>
        <w:spacing w:before="240"/>
        <w:rPr>
          <w:b/>
          <w:i/>
        </w:rPr>
      </w:pPr>
      <w:r w:rsidRPr="00A07604">
        <w:rPr>
          <w:b/>
          <w:i/>
        </w:rPr>
        <w:t>Proposal</w:t>
      </w:r>
      <w:r w:rsidR="00243A6B" w:rsidRPr="00A07604">
        <w:rPr>
          <w:b/>
          <w:i/>
        </w:rPr>
        <w:t xml:space="preserve"> </w:t>
      </w:r>
      <w:r w:rsidR="005B2244">
        <w:rPr>
          <w:b/>
          <w:i/>
        </w:rPr>
        <w:t>3</w:t>
      </w:r>
      <w:r w:rsidRPr="00842C9C">
        <w:rPr>
          <w:b/>
          <w:i/>
        </w:rPr>
        <w:t>:</w:t>
      </w:r>
    </w:p>
    <w:p w14:paraId="5B9059B6" w14:textId="4EDB2307" w:rsidR="00BE0BCF" w:rsidRPr="006E39CD" w:rsidRDefault="00BE0BCF" w:rsidP="006E39CD">
      <w:pPr>
        <w:pStyle w:val="ListParagraph"/>
        <w:numPr>
          <w:ilvl w:val="0"/>
          <w:numId w:val="18"/>
        </w:numPr>
        <w:rPr>
          <w:b/>
          <w:i/>
          <w:sz w:val="20"/>
          <w:szCs w:val="20"/>
        </w:rPr>
      </w:pPr>
      <w:r w:rsidRPr="006E39CD">
        <w:rPr>
          <w:rFonts w:ascii="Times New Roman" w:hAnsi="Times New Roman" w:cs="Times New Roman"/>
          <w:b/>
          <w:i/>
          <w:sz w:val="20"/>
          <w:szCs w:val="20"/>
        </w:rPr>
        <w:t>Transmit diversity scheme is selected by higher layers</w:t>
      </w:r>
      <w:r w:rsidR="00373E4A" w:rsidRPr="006E39CD">
        <w:rPr>
          <w:rFonts w:ascii="Times New Roman" w:hAnsi="Times New Roman" w:cs="Times New Roman"/>
          <w:b/>
          <w:i/>
          <w:sz w:val="20"/>
          <w:szCs w:val="20"/>
        </w:rPr>
        <w:t xml:space="preserve"> based on service requirements and constraints.</w:t>
      </w:r>
    </w:p>
    <w:p w14:paraId="43FEDB3B" w14:textId="53CE75C6" w:rsidR="00243A6B" w:rsidRPr="006E39CD" w:rsidRDefault="00373E4A" w:rsidP="006E39CD">
      <w:pPr>
        <w:pStyle w:val="BodyText"/>
        <w:spacing w:before="240" w:after="240"/>
        <w:jc w:val="both"/>
        <w:rPr>
          <w:sz w:val="20"/>
          <w:szCs w:val="20"/>
        </w:rPr>
      </w:pPr>
      <w:r w:rsidRPr="006E39CD">
        <w:rPr>
          <w:sz w:val="20"/>
          <w:szCs w:val="20"/>
        </w:rPr>
        <w:t>In contrast,</w:t>
      </w:r>
      <w:r w:rsidRPr="005B2244">
        <w:rPr>
          <w:sz w:val="20"/>
          <w:szCs w:val="20"/>
        </w:rPr>
        <w:t xml:space="preserve"> we believe that the PHY layer should be </w:t>
      </w:r>
      <w:r w:rsidR="00E024DC">
        <w:rPr>
          <w:sz w:val="20"/>
          <w:szCs w:val="20"/>
        </w:rPr>
        <w:t>responsible for</w:t>
      </w:r>
      <w:r w:rsidRPr="005B2244">
        <w:rPr>
          <w:sz w:val="20"/>
          <w:szCs w:val="20"/>
        </w:rPr>
        <w:t xml:space="preserve"> applying further restrictions under high load of Rel-14 UEs.</w:t>
      </w:r>
      <w:r w:rsidR="00243A6B" w:rsidRPr="005B2244">
        <w:rPr>
          <w:sz w:val="20"/>
          <w:szCs w:val="20"/>
        </w:rPr>
        <w:t xml:space="preserve"> We think that the restrictions should be applied independently on each transmission pool. In our opinion, a simple </w:t>
      </w:r>
      <w:r w:rsidR="00243A6B" w:rsidRPr="006E39CD">
        <w:rPr>
          <w:sz w:val="20"/>
          <w:szCs w:val="20"/>
        </w:rPr>
        <w:t>(pre)configurable threshold is sufficient.</w:t>
      </w:r>
    </w:p>
    <w:p w14:paraId="36432764" w14:textId="32891DEC" w:rsidR="00373E4A" w:rsidRPr="006E39CD" w:rsidRDefault="00373E4A" w:rsidP="00373E4A">
      <w:pPr>
        <w:rPr>
          <w:b/>
          <w:i/>
        </w:rPr>
      </w:pPr>
      <w:r w:rsidRPr="006E39CD">
        <w:rPr>
          <w:b/>
          <w:i/>
        </w:rPr>
        <w:t>Proposal</w:t>
      </w:r>
      <w:r w:rsidR="00243A6B" w:rsidRPr="006E39CD">
        <w:rPr>
          <w:b/>
          <w:i/>
        </w:rPr>
        <w:t xml:space="preserve"> </w:t>
      </w:r>
      <w:r w:rsidR="005B2244" w:rsidRPr="006E39CD">
        <w:rPr>
          <w:b/>
          <w:i/>
        </w:rPr>
        <w:t>4</w:t>
      </w:r>
      <w:r w:rsidRPr="006E39CD">
        <w:rPr>
          <w:b/>
          <w:i/>
        </w:rPr>
        <w:t>:</w:t>
      </w:r>
    </w:p>
    <w:p w14:paraId="494AE66B" w14:textId="1271EB9A" w:rsidR="00373E4A" w:rsidRPr="006E39CD" w:rsidRDefault="00373E4A" w:rsidP="00373E4A">
      <w:pPr>
        <w:pStyle w:val="ListParagraph"/>
        <w:numPr>
          <w:ilvl w:val="0"/>
          <w:numId w:val="18"/>
        </w:numPr>
        <w:rPr>
          <w:rFonts w:ascii="Times New Roman" w:hAnsi="Times New Roman" w:cs="Times New Roman"/>
          <w:b/>
          <w:i/>
          <w:sz w:val="20"/>
          <w:szCs w:val="20"/>
        </w:rPr>
      </w:pPr>
      <w:r w:rsidRPr="006E39CD">
        <w:rPr>
          <w:rFonts w:ascii="Times New Roman" w:hAnsi="Times New Roman" w:cs="Times New Roman"/>
          <w:b/>
          <w:i/>
          <w:sz w:val="20"/>
          <w:szCs w:val="20"/>
        </w:rPr>
        <w:t xml:space="preserve">The use of </w:t>
      </w:r>
      <w:r w:rsidR="00243A6B" w:rsidRPr="006E39CD">
        <w:rPr>
          <w:rFonts w:ascii="Times New Roman" w:hAnsi="Times New Roman" w:cs="Times New Roman"/>
          <w:b/>
          <w:i/>
          <w:sz w:val="20"/>
          <w:szCs w:val="20"/>
        </w:rPr>
        <w:t xml:space="preserve">two-port </w:t>
      </w:r>
      <w:r w:rsidRPr="006E39CD">
        <w:rPr>
          <w:rFonts w:ascii="Times New Roman" w:hAnsi="Times New Roman" w:cs="Times New Roman"/>
          <w:b/>
          <w:i/>
          <w:sz w:val="20"/>
          <w:szCs w:val="20"/>
        </w:rPr>
        <w:t xml:space="preserve">non-transparent transmit diversity </w:t>
      </w:r>
      <w:r w:rsidR="00243A6B" w:rsidRPr="006E39CD">
        <w:rPr>
          <w:rFonts w:ascii="Times New Roman" w:hAnsi="Times New Roman" w:cs="Times New Roman"/>
          <w:b/>
          <w:i/>
          <w:sz w:val="20"/>
          <w:szCs w:val="20"/>
        </w:rPr>
        <w:t xml:space="preserve">for PSSCH </w:t>
      </w:r>
      <w:r w:rsidRPr="006E39CD">
        <w:rPr>
          <w:rFonts w:ascii="Times New Roman" w:hAnsi="Times New Roman" w:cs="Times New Roman"/>
          <w:b/>
          <w:i/>
          <w:sz w:val="20"/>
          <w:szCs w:val="20"/>
        </w:rPr>
        <w:t>depends on the CBR value.</w:t>
      </w:r>
    </w:p>
    <w:p w14:paraId="4950F6BA" w14:textId="2BA0141B" w:rsidR="005B2244" w:rsidRPr="006E39CD" w:rsidRDefault="00373E4A" w:rsidP="006E39CD">
      <w:pPr>
        <w:pStyle w:val="ListParagraph"/>
        <w:numPr>
          <w:ilvl w:val="1"/>
          <w:numId w:val="18"/>
        </w:numPr>
        <w:rPr>
          <w:rFonts w:ascii="Times New Roman" w:hAnsi="Times New Roman" w:cs="Times New Roman"/>
          <w:b/>
          <w:i/>
          <w:sz w:val="20"/>
          <w:szCs w:val="20"/>
        </w:rPr>
      </w:pPr>
      <w:r w:rsidRPr="006E39CD">
        <w:rPr>
          <w:rFonts w:ascii="Times New Roman" w:hAnsi="Times New Roman" w:cs="Times New Roman"/>
          <w:b/>
          <w:i/>
          <w:sz w:val="20"/>
          <w:szCs w:val="20"/>
        </w:rPr>
        <w:t xml:space="preserve">A single, </w:t>
      </w:r>
      <w:r w:rsidR="00243A6B" w:rsidRPr="006E39CD">
        <w:rPr>
          <w:rFonts w:ascii="Times New Roman" w:hAnsi="Times New Roman" w:cs="Times New Roman"/>
          <w:b/>
          <w:i/>
          <w:sz w:val="20"/>
          <w:szCs w:val="20"/>
        </w:rPr>
        <w:t xml:space="preserve">per-pool, </w:t>
      </w:r>
      <w:r w:rsidRPr="006E39CD">
        <w:rPr>
          <w:rFonts w:ascii="Times New Roman" w:hAnsi="Times New Roman" w:cs="Times New Roman"/>
          <w:b/>
          <w:i/>
          <w:sz w:val="20"/>
          <w:szCs w:val="20"/>
        </w:rPr>
        <w:t xml:space="preserve">(pre)configurable threshold T is introduced. </w:t>
      </w:r>
      <w:r w:rsidR="00243A6B" w:rsidRPr="006E39CD">
        <w:rPr>
          <w:rFonts w:ascii="Times New Roman" w:hAnsi="Times New Roman" w:cs="Times New Roman"/>
          <w:b/>
          <w:i/>
          <w:sz w:val="20"/>
          <w:szCs w:val="20"/>
        </w:rPr>
        <w:t>Two-port non-transparent transmit diversity for PSSCH may only be used on that pool if T</w:t>
      </w:r>
      <w:r w:rsidRPr="006E39CD">
        <w:rPr>
          <w:rFonts w:ascii="Times New Roman" w:hAnsi="Times New Roman" w:cs="Times New Roman"/>
          <w:b/>
          <w:i/>
          <w:sz w:val="20"/>
          <w:szCs w:val="20"/>
        </w:rPr>
        <w:t xml:space="preserve"> </w:t>
      </w:r>
      <w:r w:rsidR="00243A6B" w:rsidRPr="006E39CD">
        <w:rPr>
          <w:rFonts w:ascii="Times New Roman" w:hAnsi="Times New Roman" w:cs="Times New Roman"/>
          <w:b/>
          <w:i/>
          <w:sz w:val="20"/>
          <w:szCs w:val="20"/>
        </w:rPr>
        <w:t xml:space="preserve">≥ </w:t>
      </w:r>
      <w:r w:rsidRPr="006E39CD">
        <w:rPr>
          <w:rFonts w:ascii="Times New Roman" w:hAnsi="Times New Roman" w:cs="Times New Roman"/>
          <w:b/>
          <w:i/>
          <w:sz w:val="20"/>
          <w:szCs w:val="20"/>
        </w:rPr>
        <w:t>CBR</w:t>
      </w:r>
      <w:r w:rsidR="00243A6B" w:rsidRPr="006E39CD">
        <w:rPr>
          <w:rFonts w:ascii="Times New Roman" w:hAnsi="Times New Roman" w:cs="Times New Roman"/>
          <w:b/>
          <w:i/>
          <w:sz w:val="20"/>
          <w:szCs w:val="20"/>
        </w:rPr>
        <w:t>.</w:t>
      </w:r>
    </w:p>
    <w:p w14:paraId="6F23BC5E" w14:textId="696DE7F0" w:rsidR="005B2244" w:rsidRPr="006E39CD" w:rsidRDefault="005B2244" w:rsidP="006E39CD">
      <w:pPr>
        <w:pStyle w:val="ListParagraph"/>
        <w:numPr>
          <w:ilvl w:val="0"/>
          <w:numId w:val="18"/>
        </w:numPr>
        <w:rPr>
          <w:rFonts w:ascii="Times New Roman" w:hAnsi="Times New Roman" w:cs="Times New Roman"/>
          <w:b/>
          <w:i/>
          <w:sz w:val="20"/>
          <w:szCs w:val="20"/>
        </w:rPr>
      </w:pPr>
      <w:r w:rsidRPr="006E39CD">
        <w:rPr>
          <w:rFonts w:ascii="Times New Roman" w:hAnsi="Times New Roman" w:cs="Times New Roman"/>
          <w:b/>
          <w:i/>
          <w:sz w:val="20"/>
          <w:szCs w:val="20"/>
        </w:rPr>
        <w:t>Other restrictions at PHY level are FFS.</w:t>
      </w:r>
    </w:p>
    <w:p w14:paraId="3C4455C8" w14:textId="0EED3EE3" w:rsidR="00706C19" w:rsidRPr="00744368" w:rsidRDefault="00706C19" w:rsidP="00706C19">
      <w:pPr>
        <w:pStyle w:val="Heading1"/>
      </w:pPr>
      <w:r w:rsidRPr="00744368">
        <w:t xml:space="preserve">Conclusion </w:t>
      </w:r>
    </w:p>
    <w:p w14:paraId="40959AD3" w14:textId="1743900D" w:rsidR="00623368" w:rsidRPr="003314CC" w:rsidRDefault="00706C19" w:rsidP="003314CC">
      <w:pPr>
        <w:pStyle w:val="BodyText"/>
        <w:spacing w:before="240" w:after="240"/>
        <w:jc w:val="both"/>
        <w:rPr>
          <w:spacing w:val="2"/>
          <w:sz w:val="20"/>
          <w:szCs w:val="20"/>
        </w:rPr>
      </w:pPr>
      <w:r w:rsidRPr="003314CC">
        <w:rPr>
          <w:spacing w:val="2"/>
          <w:sz w:val="20"/>
          <w:szCs w:val="20"/>
        </w:rPr>
        <w:t xml:space="preserve">In this contribution we </w:t>
      </w:r>
      <w:r w:rsidR="00954578" w:rsidRPr="003314CC">
        <w:rPr>
          <w:spacing w:val="2"/>
          <w:sz w:val="20"/>
          <w:szCs w:val="20"/>
        </w:rPr>
        <w:t xml:space="preserve">have discussed </w:t>
      </w:r>
      <w:r w:rsidR="003314CC" w:rsidRPr="003314CC">
        <w:rPr>
          <w:spacing w:val="2"/>
          <w:sz w:val="20"/>
          <w:szCs w:val="20"/>
        </w:rPr>
        <w:t>transmit diversity schemes</w:t>
      </w:r>
      <w:r w:rsidR="00AF7DCE" w:rsidRPr="003314CC">
        <w:rPr>
          <w:spacing w:val="2"/>
          <w:sz w:val="20"/>
          <w:szCs w:val="20"/>
        </w:rPr>
        <w:t xml:space="preserve"> for Rel-15 PSCCH and PSSCH transmissions</w:t>
      </w:r>
      <w:r w:rsidR="0030726C">
        <w:rPr>
          <w:spacing w:val="2"/>
          <w:sz w:val="20"/>
          <w:szCs w:val="20"/>
        </w:rPr>
        <w:t xml:space="preserve">. </w:t>
      </w:r>
      <w:r w:rsidR="00E024DC">
        <w:rPr>
          <w:spacing w:val="2"/>
          <w:sz w:val="20"/>
          <w:szCs w:val="20"/>
        </w:rPr>
        <w:t>We have observed and proposed the following</w:t>
      </w:r>
      <w:r w:rsidR="003314CC" w:rsidRPr="003314CC">
        <w:rPr>
          <w:spacing w:val="2"/>
          <w:sz w:val="20"/>
          <w:szCs w:val="20"/>
        </w:rPr>
        <w:t>:</w:t>
      </w:r>
    </w:p>
    <w:p w14:paraId="036F2918" w14:textId="77777777" w:rsidR="00E024DC" w:rsidRPr="003810E1" w:rsidRDefault="00E024DC" w:rsidP="00E024DC">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5A8838D6" w14:textId="77777777" w:rsidR="00E024DC" w:rsidRDefault="00E024DC" w:rsidP="00E024DC">
      <w:pPr>
        <w:numPr>
          <w:ilvl w:val="0"/>
          <w:numId w:val="13"/>
        </w:numPr>
        <w:spacing w:after="0"/>
        <w:rPr>
          <w:b/>
          <w:i/>
          <w:lang w:val="en-US"/>
        </w:rPr>
      </w:pPr>
      <w:r w:rsidRPr="005D0287">
        <w:rPr>
          <w:b/>
          <w:i/>
          <w:lang w:val="en-US"/>
        </w:rPr>
        <w:t>Small delay CDD</w:t>
      </w:r>
      <w:r>
        <w:rPr>
          <w:b/>
          <w:i/>
          <w:lang w:val="en-US"/>
        </w:rPr>
        <w:t xml:space="preserve"> is applied to Rel-15 PSCCH transmission.</w:t>
      </w:r>
    </w:p>
    <w:p w14:paraId="36F94FA5" w14:textId="575764F8" w:rsidR="00E024DC" w:rsidRDefault="00E024DC" w:rsidP="00E024DC">
      <w:pPr>
        <w:numPr>
          <w:ilvl w:val="1"/>
          <w:numId w:val="13"/>
        </w:numPr>
        <w:spacing w:after="0"/>
        <w:rPr>
          <w:b/>
          <w:i/>
          <w:lang w:val="en-US"/>
        </w:rPr>
      </w:pPr>
      <w:r w:rsidRPr="003329AB">
        <w:rPr>
          <w:b/>
          <w:i/>
          <w:lang w:val="en-US"/>
        </w:rPr>
        <w:t>FFS how to select phase rotation</w:t>
      </w:r>
      <w:r>
        <w:rPr>
          <w:b/>
          <w:i/>
          <w:lang w:val="en-US"/>
        </w:rPr>
        <w:t>.</w:t>
      </w:r>
    </w:p>
    <w:p w14:paraId="206FA94A" w14:textId="77777777" w:rsidR="00E024DC" w:rsidRPr="00B440EC" w:rsidRDefault="00E024DC" w:rsidP="00E024DC">
      <w:pPr>
        <w:pStyle w:val="BodyText"/>
        <w:spacing w:before="240" w:after="240"/>
        <w:jc w:val="both"/>
        <w:rPr>
          <w:b/>
          <w:i/>
          <w:sz w:val="20"/>
          <w:szCs w:val="20"/>
        </w:rPr>
      </w:pPr>
      <w:r w:rsidRPr="00B440EC">
        <w:rPr>
          <w:b/>
          <w:i/>
          <w:sz w:val="20"/>
          <w:szCs w:val="20"/>
        </w:rPr>
        <w:t xml:space="preserve">Proposal 2: </w:t>
      </w:r>
    </w:p>
    <w:p w14:paraId="76BE37D3" w14:textId="39793FEA" w:rsidR="00E024DC" w:rsidRPr="00B440EC" w:rsidRDefault="00E024DC" w:rsidP="00E024DC">
      <w:pPr>
        <w:pStyle w:val="ListParagraph"/>
        <w:numPr>
          <w:ilvl w:val="0"/>
          <w:numId w:val="13"/>
        </w:numPr>
        <w:rPr>
          <w:rFonts w:ascii="Times New Roman" w:hAnsi="Times New Roman" w:cs="Times New Roman"/>
          <w:b/>
          <w:i/>
          <w:sz w:val="20"/>
        </w:rPr>
      </w:pPr>
      <w:r w:rsidRPr="00B440EC">
        <w:rPr>
          <w:rFonts w:ascii="Times New Roman" w:hAnsi="Times New Roman" w:cs="Times New Roman"/>
          <w:b/>
          <w:i/>
          <w:sz w:val="20"/>
        </w:rPr>
        <w:t>Alamouti SFBC is used for two-port non-transparent transmit diversity</w:t>
      </w:r>
      <w:r w:rsidR="00350969">
        <w:rPr>
          <w:rFonts w:ascii="Times New Roman" w:hAnsi="Times New Roman" w:cs="Times New Roman"/>
          <w:b/>
          <w:i/>
          <w:sz w:val="20"/>
        </w:rPr>
        <w:t xml:space="preserve"> for PSSCH</w:t>
      </w:r>
      <w:r w:rsidRPr="00B440EC">
        <w:rPr>
          <w:rFonts w:ascii="Times New Roman" w:hAnsi="Times New Roman" w:cs="Times New Roman"/>
          <w:b/>
          <w:i/>
          <w:sz w:val="20"/>
        </w:rPr>
        <w:t>.</w:t>
      </w:r>
    </w:p>
    <w:p w14:paraId="2319E28A" w14:textId="77777777" w:rsidR="00E024DC" w:rsidRPr="00842C9C" w:rsidRDefault="00E024DC" w:rsidP="00E024DC">
      <w:pPr>
        <w:spacing w:before="240"/>
        <w:rPr>
          <w:b/>
          <w:i/>
        </w:rPr>
      </w:pPr>
      <w:r w:rsidRPr="00B440EC">
        <w:rPr>
          <w:b/>
          <w:i/>
        </w:rPr>
        <w:t>Observation</w:t>
      </w:r>
      <w:r w:rsidRPr="00842C9C">
        <w:rPr>
          <w:b/>
          <w:i/>
        </w:rPr>
        <w:t xml:space="preserve"> 1</w:t>
      </w:r>
      <w:r w:rsidRPr="00B440EC">
        <w:rPr>
          <w:b/>
          <w:i/>
        </w:rPr>
        <w:t>:</w:t>
      </w:r>
    </w:p>
    <w:p w14:paraId="33149F80" w14:textId="77777777" w:rsidR="00E024DC" w:rsidRPr="00B440EC" w:rsidRDefault="00E024DC" w:rsidP="00E024DC">
      <w:pPr>
        <w:pStyle w:val="ListParagraph"/>
        <w:numPr>
          <w:ilvl w:val="0"/>
          <w:numId w:val="13"/>
        </w:numPr>
        <w:spacing w:before="240"/>
        <w:rPr>
          <w:b/>
          <w:i/>
          <w:sz w:val="20"/>
          <w:szCs w:val="20"/>
        </w:rPr>
      </w:pPr>
      <w:r w:rsidRPr="00B440EC">
        <w:rPr>
          <w:rFonts w:ascii="Times New Roman" w:hAnsi="Times New Roman" w:cs="Times New Roman"/>
          <w:b/>
          <w:i/>
          <w:sz w:val="20"/>
          <w:szCs w:val="20"/>
        </w:rPr>
        <w:t>In the current framework, higher layers select transmission parameters that are compatible with the service associated with a packet.</w:t>
      </w:r>
    </w:p>
    <w:p w14:paraId="3937C366" w14:textId="77777777" w:rsidR="00E024DC" w:rsidRPr="00A07604" w:rsidRDefault="00E024DC" w:rsidP="00E024DC">
      <w:pPr>
        <w:spacing w:before="240"/>
        <w:rPr>
          <w:b/>
          <w:i/>
        </w:rPr>
      </w:pPr>
      <w:r w:rsidRPr="00A07604">
        <w:rPr>
          <w:b/>
          <w:i/>
        </w:rPr>
        <w:t xml:space="preserve">Proposal </w:t>
      </w:r>
      <w:r>
        <w:rPr>
          <w:b/>
          <w:i/>
        </w:rPr>
        <w:t>3</w:t>
      </w:r>
      <w:r w:rsidRPr="00842C9C">
        <w:rPr>
          <w:b/>
          <w:i/>
        </w:rPr>
        <w:t>:</w:t>
      </w:r>
    </w:p>
    <w:p w14:paraId="2B4FE7FD" w14:textId="77777777" w:rsidR="00E024DC" w:rsidRPr="00B440EC" w:rsidRDefault="00E024DC" w:rsidP="00E024DC">
      <w:pPr>
        <w:pStyle w:val="ListParagraph"/>
        <w:numPr>
          <w:ilvl w:val="0"/>
          <w:numId w:val="13"/>
        </w:numPr>
        <w:rPr>
          <w:b/>
          <w:i/>
          <w:sz w:val="20"/>
          <w:szCs w:val="20"/>
        </w:rPr>
      </w:pPr>
      <w:r w:rsidRPr="00B440EC">
        <w:rPr>
          <w:rFonts w:ascii="Times New Roman" w:hAnsi="Times New Roman" w:cs="Times New Roman"/>
          <w:b/>
          <w:i/>
          <w:sz w:val="20"/>
          <w:szCs w:val="20"/>
        </w:rPr>
        <w:t>Transmit diversity scheme is selected by higher layers based on service requirements and constraints.</w:t>
      </w:r>
    </w:p>
    <w:p w14:paraId="03129BC4" w14:textId="77777777" w:rsidR="00E024DC" w:rsidRPr="00B440EC" w:rsidRDefault="00E024DC" w:rsidP="006E39CD">
      <w:pPr>
        <w:spacing w:before="240"/>
        <w:rPr>
          <w:b/>
          <w:i/>
        </w:rPr>
      </w:pPr>
      <w:r w:rsidRPr="00B440EC">
        <w:rPr>
          <w:b/>
          <w:i/>
        </w:rPr>
        <w:t>Proposal 4:</w:t>
      </w:r>
    </w:p>
    <w:p w14:paraId="7BEE6BDE" w14:textId="77777777" w:rsidR="00E024DC" w:rsidRPr="00B440EC" w:rsidRDefault="00E024DC" w:rsidP="00E024DC">
      <w:pPr>
        <w:pStyle w:val="ListParagraph"/>
        <w:numPr>
          <w:ilvl w:val="0"/>
          <w:numId w:val="13"/>
        </w:numPr>
        <w:rPr>
          <w:rFonts w:ascii="Times New Roman" w:hAnsi="Times New Roman" w:cs="Times New Roman"/>
          <w:b/>
          <w:i/>
          <w:sz w:val="20"/>
          <w:szCs w:val="20"/>
        </w:rPr>
      </w:pPr>
      <w:r w:rsidRPr="00B440EC">
        <w:rPr>
          <w:rFonts w:ascii="Times New Roman" w:hAnsi="Times New Roman" w:cs="Times New Roman"/>
          <w:b/>
          <w:i/>
          <w:sz w:val="20"/>
          <w:szCs w:val="20"/>
        </w:rPr>
        <w:t>The use of two-port non-transparent transmit diversity for PSSCH depends on the CBR value.</w:t>
      </w:r>
    </w:p>
    <w:p w14:paraId="04AD104D" w14:textId="77777777" w:rsidR="00E024DC" w:rsidRPr="00B440EC" w:rsidRDefault="00E024DC" w:rsidP="00E024DC">
      <w:pPr>
        <w:pStyle w:val="ListParagraph"/>
        <w:numPr>
          <w:ilvl w:val="1"/>
          <w:numId w:val="13"/>
        </w:numPr>
        <w:rPr>
          <w:rFonts w:ascii="Times New Roman" w:hAnsi="Times New Roman" w:cs="Times New Roman"/>
          <w:b/>
          <w:i/>
          <w:sz w:val="20"/>
          <w:szCs w:val="20"/>
        </w:rPr>
      </w:pPr>
      <w:r w:rsidRPr="00B440EC">
        <w:rPr>
          <w:rFonts w:ascii="Times New Roman" w:hAnsi="Times New Roman" w:cs="Times New Roman"/>
          <w:b/>
          <w:i/>
          <w:sz w:val="20"/>
          <w:szCs w:val="20"/>
        </w:rPr>
        <w:t>A single, per-pool, (pre)configurable threshold T is introduced. Two-port non-transparent transmit diversity for PSSCH may only be used on that pool if T ≥ CBR.</w:t>
      </w:r>
    </w:p>
    <w:p w14:paraId="4EC96BF0" w14:textId="27F46BE5" w:rsidR="00E024DC" w:rsidRPr="006E39CD" w:rsidRDefault="00E024DC" w:rsidP="006E39CD">
      <w:pPr>
        <w:pStyle w:val="ListParagraph"/>
        <w:numPr>
          <w:ilvl w:val="0"/>
          <w:numId w:val="13"/>
        </w:numPr>
        <w:rPr>
          <w:rFonts w:ascii="Times New Roman" w:hAnsi="Times New Roman" w:cs="Times New Roman"/>
          <w:b/>
          <w:i/>
          <w:sz w:val="20"/>
          <w:szCs w:val="20"/>
        </w:rPr>
      </w:pPr>
      <w:r w:rsidRPr="00B440EC">
        <w:rPr>
          <w:rFonts w:ascii="Times New Roman" w:hAnsi="Times New Roman" w:cs="Times New Roman"/>
          <w:b/>
          <w:i/>
          <w:sz w:val="20"/>
          <w:szCs w:val="20"/>
        </w:rPr>
        <w:t>Other restrictions at PHY level are FFS.</w:t>
      </w:r>
    </w:p>
    <w:p w14:paraId="5036C165" w14:textId="2175BC10" w:rsidR="00706C19" w:rsidRPr="00DA1475" w:rsidRDefault="00706C19" w:rsidP="00706C19">
      <w:pPr>
        <w:pStyle w:val="Heading1"/>
      </w:pPr>
      <w:r w:rsidRPr="00DA1475">
        <w:t>Reference</w:t>
      </w:r>
    </w:p>
    <w:p w14:paraId="25661003" w14:textId="1C182698" w:rsidR="0034705A" w:rsidRPr="00467871" w:rsidRDefault="0034705A" w:rsidP="00467871">
      <w:pPr>
        <w:pStyle w:val="ListParagraph"/>
        <w:numPr>
          <w:ilvl w:val="0"/>
          <w:numId w:val="7"/>
        </w:numPr>
        <w:ind w:left="567" w:hanging="425"/>
        <w:rPr>
          <w:rFonts w:ascii="Times New Roman" w:hAnsi="Times New Roman" w:cs="Times New Roman"/>
          <w:color w:val="312E25"/>
          <w:sz w:val="20"/>
          <w:szCs w:val="20"/>
          <w:lang w:eastAsia="sv-SE"/>
        </w:rPr>
      </w:pPr>
      <w:bookmarkStart w:id="10" w:name="_Ref477334356"/>
      <w:bookmarkStart w:id="11" w:name="_Ref494462036"/>
      <w:bookmarkStart w:id="12" w:name="_Ref462922309"/>
      <w:bookmarkStart w:id="13" w:name="_Ref450915949"/>
      <w:r w:rsidRPr="00467871">
        <w:rPr>
          <w:rFonts w:ascii="Times New Roman" w:hAnsi="Times New Roman" w:cs="Times New Roman"/>
          <w:color w:val="312E25"/>
          <w:sz w:val="20"/>
          <w:szCs w:val="20"/>
          <w:lang w:eastAsia="sv-SE"/>
        </w:rPr>
        <w:t>P-170798</w:t>
      </w:r>
      <w:r w:rsidRPr="00467871">
        <w:rPr>
          <w:rFonts w:ascii="Times New Roman" w:hAnsi="Times New Roman" w:cs="Times New Roman"/>
          <w:color w:val="312E25"/>
          <w:sz w:val="20"/>
          <w:szCs w:val="20"/>
          <w:lang w:eastAsia="sv-SE"/>
        </w:rPr>
        <w:tab/>
        <w:t>New WID on 3GPP V2X Phase 2</w:t>
      </w:r>
      <w:bookmarkEnd w:id="10"/>
      <w:bookmarkEnd w:id="11"/>
    </w:p>
    <w:p w14:paraId="79FAE3E7" w14:textId="0BD990F1" w:rsidR="00F05470" w:rsidRPr="005F7FDA" w:rsidRDefault="00F05470" w:rsidP="00CC2D84">
      <w:pPr>
        <w:pStyle w:val="ListParagraph"/>
        <w:numPr>
          <w:ilvl w:val="0"/>
          <w:numId w:val="7"/>
        </w:numPr>
        <w:ind w:left="567" w:hanging="425"/>
        <w:rPr>
          <w:rFonts w:ascii="Times New Roman" w:hAnsi="Times New Roman" w:cs="Times New Roman"/>
          <w:color w:val="312E25"/>
          <w:sz w:val="20"/>
          <w:szCs w:val="20"/>
          <w:lang w:eastAsia="sv-SE"/>
        </w:rPr>
      </w:pPr>
      <w:bookmarkStart w:id="14" w:name="_Ref494460687"/>
      <w:r w:rsidRPr="005F7FDA">
        <w:rPr>
          <w:rFonts w:ascii="Times New Roman" w:hAnsi="Times New Roman" w:cs="Times New Roman"/>
          <w:color w:val="312E25"/>
          <w:sz w:val="20"/>
          <w:szCs w:val="20"/>
          <w:lang w:eastAsia="sv-SE"/>
        </w:rPr>
        <w:lastRenderedPageBreak/>
        <w:t>RAN1#88bis</w:t>
      </w:r>
      <w:r w:rsidR="00C25062" w:rsidRPr="004C542E">
        <w:rPr>
          <w:rFonts w:ascii="Times New Roman" w:hAnsi="Times New Roman" w:cs="Times New Roman"/>
          <w:color w:val="312E25"/>
          <w:sz w:val="20"/>
          <w:szCs w:val="20"/>
          <w:lang w:eastAsia="sv-SE"/>
        </w:rPr>
        <w:t xml:space="preserve"> </w:t>
      </w:r>
      <w:r w:rsidR="00E024DC">
        <w:rPr>
          <w:rFonts w:ascii="Times New Roman" w:hAnsi="Times New Roman" w:cs="Times New Roman"/>
          <w:color w:val="312E25"/>
          <w:sz w:val="20"/>
          <w:szCs w:val="20"/>
          <w:lang w:eastAsia="sv-SE"/>
        </w:rPr>
        <w:t>Chairman’s notes</w:t>
      </w:r>
      <w:bookmarkEnd w:id="14"/>
    </w:p>
    <w:p w14:paraId="532C46EC" w14:textId="349A21DA" w:rsidR="00236AB5" w:rsidRPr="005F7FDA" w:rsidRDefault="00236AB5" w:rsidP="00CC2D84">
      <w:pPr>
        <w:pStyle w:val="ListParagraph"/>
        <w:numPr>
          <w:ilvl w:val="0"/>
          <w:numId w:val="7"/>
        </w:numPr>
        <w:ind w:left="567" w:hanging="425"/>
        <w:rPr>
          <w:rFonts w:ascii="Times New Roman" w:hAnsi="Times New Roman" w:cs="Times New Roman"/>
          <w:color w:val="312E25"/>
          <w:sz w:val="20"/>
          <w:szCs w:val="20"/>
          <w:lang w:eastAsia="sv-SE"/>
        </w:rPr>
      </w:pPr>
      <w:bookmarkStart w:id="15" w:name="_Ref494461017"/>
      <w:r w:rsidRPr="005F7FDA">
        <w:rPr>
          <w:rFonts w:ascii="Times New Roman" w:hAnsi="Times New Roman" w:cs="Times New Roman"/>
          <w:color w:val="312E25"/>
          <w:sz w:val="20"/>
          <w:szCs w:val="20"/>
          <w:lang w:eastAsia="sv-SE"/>
        </w:rPr>
        <w:t xml:space="preserve">RAN1#89 </w:t>
      </w:r>
      <w:r w:rsidR="00E024DC">
        <w:rPr>
          <w:rFonts w:ascii="Times New Roman" w:hAnsi="Times New Roman" w:cs="Times New Roman"/>
          <w:color w:val="312E25"/>
          <w:sz w:val="20"/>
          <w:szCs w:val="20"/>
          <w:lang w:eastAsia="sv-SE"/>
        </w:rPr>
        <w:t>Chairman’s notes</w:t>
      </w:r>
      <w:bookmarkEnd w:id="15"/>
    </w:p>
    <w:p w14:paraId="52145C24" w14:textId="1D7F51A4" w:rsidR="00765B77" w:rsidRPr="00765B77" w:rsidRDefault="00AB1D66" w:rsidP="00765B77">
      <w:pPr>
        <w:pStyle w:val="ListParagraph"/>
        <w:numPr>
          <w:ilvl w:val="0"/>
          <w:numId w:val="7"/>
        </w:numPr>
        <w:ind w:left="567" w:hanging="425"/>
        <w:rPr>
          <w:rFonts w:ascii="Times New Roman" w:hAnsi="Times New Roman" w:cs="Times New Roman"/>
          <w:color w:val="312E25"/>
          <w:sz w:val="20"/>
          <w:szCs w:val="20"/>
          <w:lang w:eastAsia="sv-SE"/>
        </w:rPr>
      </w:pPr>
      <w:r w:rsidRPr="00777164">
        <w:rPr>
          <w:rFonts w:ascii="Times New Roman" w:hAnsi="Times New Roman" w:cs="Times New Roman"/>
          <w:color w:val="312E25"/>
          <w:sz w:val="20"/>
          <w:szCs w:val="20"/>
          <w:lang w:eastAsia="sv-SE"/>
        </w:rPr>
        <w:tab/>
      </w:r>
      <w:bookmarkStart w:id="16" w:name="_Ref494461055"/>
      <w:r w:rsidR="00937C1B" w:rsidRPr="004B1C86">
        <w:rPr>
          <w:rFonts w:ascii="Times New Roman" w:hAnsi="Times New Roman" w:cs="Times New Roman"/>
          <w:color w:val="312E25"/>
          <w:sz w:val="20"/>
          <w:szCs w:val="20"/>
          <w:lang w:eastAsia="sv-SE"/>
        </w:rPr>
        <w:t>RAN1#</w:t>
      </w:r>
      <w:r w:rsidR="00937C1B">
        <w:rPr>
          <w:rFonts w:ascii="Times New Roman" w:hAnsi="Times New Roman" w:cs="Times New Roman"/>
          <w:color w:val="312E25"/>
          <w:sz w:val="20"/>
          <w:szCs w:val="20"/>
          <w:lang w:eastAsia="sv-SE"/>
        </w:rPr>
        <w:t>90</w:t>
      </w:r>
      <w:r w:rsidR="00937C1B" w:rsidRPr="004B1C86">
        <w:rPr>
          <w:rFonts w:ascii="Times New Roman" w:hAnsi="Times New Roman" w:cs="Times New Roman"/>
          <w:color w:val="312E25"/>
          <w:sz w:val="20"/>
          <w:szCs w:val="20"/>
          <w:lang w:eastAsia="sv-SE"/>
        </w:rPr>
        <w:t xml:space="preserve"> </w:t>
      </w:r>
      <w:r w:rsidR="00E024DC">
        <w:rPr>
          <w:rFonts w:ascii="Times New Roman" w:hAnsi="Times New Roman" w:cs="Times New Roman"/>
          <w:color w:val="312E25"/>
          <w:sz w:val="20"/>
          <w:szCs w:val="20"/>
          <w:lang w:eastAsia="sv-SE"/>
        </w:rPr>
        <w:t>Chairman’s notes</w:t>
      </w:r>
      <w:bookmarkStart w:id="17" w:name="_Ref494450096"/>
      <w:bookmarkStart w:id="18" w:name="_Ref494461076"/>
      <w:bookmarkEnd w:id="16"/>
    </w:p>
    <w:p w14:paraId="5C21ECBF" w14:textId="01FC9608" w:rsidR="003314CC" w:rsidRPr="006E39CD" w:rsidRDefault="00E024DC" w:rsidP="006E39CD">
      <w:pPr>
        <w:pStyle w:val="ListParagraph"/>
        <w:numPr>
          <w:ilvl w:val="0"/>
          <w:numId w:val="7"/>
        </w:numPr>
        <w:ind w:left="567" w:hanging="425"/>
        <w:rPr>
          <w:rFonts w:ascii="Times New Roman" w:hAnsi="Times New Roman" w:cs="Times New Roman"/>
          <w:color w:val="312E25"/>
          <w:sz w:val="20"/>
          <w:szCs w:val="20"/>
          <w:lang w:eastAsia="sv-SE"/>
        </w:rPr>
      </w:pPr>
      <w:bookmarkStart w:id="19" w:name="_Ref494462115"/>
      <w:r w:rsidRPr="006E39CD">
        <w:rPr>
          <w:rFonts w:ascii="Times New Roman" w:hAnsi="Times New Roman" w:cs="Times New Roman"/>
          <w:color w:val="312E25"/>
          <w:sz w:val="20"/>
          <w:szCs w:val="20"/>
          <w:lang w:eastAsia="sv-SE"/>
        </w:rPr>
        <w:t>R1-1717735</w:t>
      </w:r>
      <w:r w:rsidR="004C542E" w:rsidRPr="006E39CD">
        <w:rPr>
          <w:rFonts w:ascii="Times New Roman" w:hAnsi="Times New Roman" w:cs="Times New Roman"/>
          <w:color w:val="312E25"/>
          <w:sz w:val="20"/>
          <w:szCs w:val="20"/>
          <w:lang w:eastAsia="sv-SE"/>
        </w:rPr>
        <w:t>, “</w:t>
      </w:r>
      <w:r w:rsidR="00777164" w:rsidRPr="006E39CD">
        <w:rPr>
          <w:rFonts w:ascii="Times New Roman" w:hAnsi="Times New Roman" w:cs="Times New Roman"/>
          <w:color w:val="312E25"/>
          <w:sz w:val="20"/>
          <w:szCs w:val="20"/>
          <w:lang w:eastAsia="sv-SE"/>
        </w:rPr>
        <w:t>DMRS design for two-port PSSCH transmission</w:t>
      </w:r>
      <w:r w:rsidR="004C542E" w:rsidRPr="006E39CD">
        <w:rPr>
          <w:rFonts w:ascii="Times New Roman" w:hAnsi="Times New Roman" w:cs="Times New Roman"/>
          <w:color w:val="312E25"/>
          <w:sz w:val="20"/>
          <w:szCs w:val="20"/>
          <w:lang w:eastAsia="sv-SE"/>
        </w:rPr>
        <w:t>”, Ericsson</w:t>
      </w:r>
      <w:bookmarkEnd w:id="17"/>
      <w:bookmarkEnd w:id="18"/>
      <w:bookmarkEnd w:id="19"/>
    </w:p>
    <w:p w14:paraId="1C8444F7" w14:textId="5177DFDC" w:rsidR="003314CC" w:rsidRPr="005F7FDA" w:rsidRDefault="00AB1D66" w:rsidP="00CC2D84">
      <w:pPr>
        <w:pStyle w:val="ListParagraph"/>
        <w:numPr>
          <w:ilvl w:val="0"/>
          <w:numId w:val="7"/>
        </w:numPr>
        <w:ind w:left="567" w:hanging="425"/>
        <w:rPr>
          <w:rFonts w:ascii="Times New Roman" w:hAnsi="Times New Roman" w:cs="Times New Roman"/>
          <w:color w:val="312E25"/>
          <w:sz w:val="20"/>
          <w:szCs w:val="20"/>
          <w:lang w:eastAsia="sv-SE"/>
        </w:rPr>
      </w:pPr>
      <w:bookmarkStart w:id="20" w:name="_Ref494461137"/>
      <w:r w:rsidRPr="004C542E">
        <w:rPr>
          <w:rFonts w:ascii="Times New Roman" w:hAnsi="Times New Roman" w:cs="Times New Roman"/>
          <w:color w:val="312E25"/>
          <w:sz w:val="20"/>
          <w:szCs w:val="20"/>
          <w:lang w:eastAsia="sv-SE"/>
        </w:rPr>
        <w:t>R1-1709157 “Initial evaluation for transmit diversity for V2X,” Ericsson</w:t>
      </w:r>
      <w:bookmarkEnd w:id="20"/>
    </w:p>
    <w:p w14:paraId="03265E9C" w14:textId="533BFCC8" w:rsidR="00937C1B" w:rsidRPr="00937C1B" w:rsidRDefault="00937C1B" w:rsidP="00CC2D84">
      <w:pPr>
        <w:pStyle w:val="ListParagraph"/>
        <w:numPr>
          <w:ilvl w:val="0"/>
          <w:numId w:val="7"/>
        </w:numPr>
        <w:ind w:left="567" w:hanging="425"/>
        <w:rPr>
          <w:rFonts w:ascii="Times New Roman" w:hAnsi="Times New Roman" w:cs="Times New Roman"/>
          <w:color w:val="312E25"/>
          <w:sz w:val="20"/>
          <w:szCs w:val="20"/>
          <w:lang w:eastAsia="sv-SE"/>
        </w:rPr>
      </w:pPr>
      <w:bookmarkStart w:id="21" w:name="_Ref494114460"/>
      <w:bookmarkStart w:id="22" w:name="_Ref489633106"/>
      <w:r>
        <w:rPr>
          <w:rFonts w:ascii="Times New Roman" w:hAnsi="Times New Roman" w:cs="Times New Roman"/>
          <w:color w:val="312E25"/>
          <w:sz w:val="20"/>
          <w:szCs w:val="20"/>
          <w:lang w:eastAsia="sv-SE"/>
        </w:rPr>
        <w:t xml:space="preserve">Cohda Wireless, MK5 V2X On Board Unit, available on: </w:t>
      </w:r>
      <w:hyperlink r:id="rId13" w:history="1">
        <w:r w:rsidRPr="003869FB">
          <w:rPr>
            <w:rStyle w:val="Hyperlink"/>
            <w:rFonts w:ascii="Times New Roman" w:hAnsi="Times New Roman" w:cs="Times New Roman"/>
            <w:sz w:val="20"/>
            <w:szCs w:val="20"/>
            <w:lang w:eastAsia="sv-SE"/>
          </w:rPr>
          <w:t>http://cohdawireless.com/Portals/0/MK5_OBU_10122015.pdf</w:t>
        </w:r>
      </w:hyperlink>
      <w:r>
        <w:rPr>
          <w:rFonts w:ascii="Times New Roman" w:hAnsi="Times New Roman" w:cs="Times New Roman"/>
          <w:color w:val="312E25"/>
          <w:sz w:val="20"/>
          <w:szCs w:val="20"/>
          <w:lang w:eastAsia="sv-SE"/>
        </w:rPr>
        <w:t xml:space="preserve"> [last accessed 25/9/2017]</w:t>
      </w:r>
      <w:bookmarkEnd w:id="21"/>
    </w:p>
    <w:p w14:paraId="19B2021D" w14:textId="3FDFAE16" w:rsidR="00AB1D66" w:rsidRPr="004C542E" w:rsidRDefault="00AB1D66" w:rsidP="00CC2D84">
      <w:pPr>
        <w:pStyle w:val="ListParagraph"/>
        <w:numPr>
          <w:ilvl w:val="0"/>
          <w:numId w:val="7"/>
        </w:numPr>
        <w:ind w:left="567" w:hanging="425"/>
        <w:rPr>
          <w:rFonts w:ascii="Times New Roman" w:hAnsi="Times New Roman" w:cs="Times New Roman"/>
          <w:color w:val="312E25"/>
          <w:sz w:val="20"/>
          <w:szCs w:val="20"/>
          <w:lang w:eastAsia="sv-SE"/>
        </w:rPr>
      </w:pPr>
      <w:bookmarkStart w:id="23" w:name="_Ref494461192"/>
      <w:r w:rsidRPr="004C542E">
        <w:rPr>
          <w:rFonts w:ascii="Times New Roman" w:eastAsia="MS Mincho" w:hAnsi="Times New Roman" w:cs="Times New Roman"/>
          <w:iCs/>
          <w:sz w:val="20"/>
          <w:szCs w:val="20"/>
          <w:lang w:eastAsia="ja-JP"/>
        </w:rPr>
        <w:t>R1-1707004</w:t>
      </w:r>
      <w:r w:rsidR="00A17A98">
        <w:rPr>
          <w:rFonts w:ascii="Times New Roman" w:eastAsia="MS Mincho" w:hAnsi="Times New Roman" w:cs="Times New Roman"/>
          <w:iCs/>
          <w:sz w:val="20"/>
          <w:szCs w:val="20"/>
          <w:lang w:eastAsia="ja-JP"/>
        </w:rPr>
        <w:t>,</w:t>
      </w:r>
      <w:r w:rsidRPr="004C542E">
        <w:rPr>
          <w:rFonts w:ascii="Times New Roman" w:eastAsia="MS Mincho" w:hAnsi="Times New Roman" w:cs="Times New Roman"/>
          <w:iCs/>
          <w:sz w:val="20"/>
          <w:szCs w:val="20"/>
          <w:lang w:eastAsia="ja-JP"/>
        </w:rPr>
        <w:tab/>
        <w:t>“Evaluation results of transmit diversity solutions for R15 sidelink”, Huawei, HiSilicon</w:t>
      </w:r>
      <w:bookmarkEnd w:id="22"/>
      <w:bookmarkEnd w:id="23"/>
    </w:p>
    <w:p w14:paraId="6F8CBD79" w14:textId="3812A074" w:rsidR="00FD71C8" w:rsidRPr="004C542E" w:rsidRDefault="00FD71C8" w:rsidP="00CC2D84">
      <w:pPr>
        <w:pStyle w:val="ListParagraph"/>
        <w:numPr>
          <w:ilvl w:val="0"/>
          <w:numId w:val="7"/>
        </w:numPr>
        <w:ind w:left="567" w:hanging="425"/>
        <w:rPr>
          <w:rFonts w:ascii="Times New Roman" w:hAnsi="Times New Roman" w:cs="Times New Roman"/>
          <w:color w:val="312E25"/>
          <w:sz w:val="20"/>
          <w:szCs w:val="20"/>
          <w:lang w:eastAsia="sv-SE"/>
        </w:rPr>
      </w:pPr>
      <w:bookmarkStart w:id="24" w:name="_Ref489633640"/>
      <w:r w:rsidRPr="004C542E">
        <w:rPr>
          <w:rFonts w:ascii="Times New Roman" w:hAnsi="Times New Roman" w:cs="Times New Roman"/>
          <w:color w:val="312E25"/>
          <w:sz w:val="20"/>
          <w:szCs w:val="20"/>
          <w:lang w:eastAsia="sv-SE"/>
        </w:rPr>
        <w:t>R1-1707452</w:t>
      </w:r>
      <w:r w:rsidR="00A17A98" w:rsidRPr="004C542E">
        <w:rPr>
          <w:rFonts w:ascii="Times New Roman" w:hAnsi="Times New Roman" w:cs="Times New Roman"/>
          <w:color w:val="312E25"/>
          <w:sz w:val="20"/>
          <w:szCs w:val="20"/>
          <w:lang w:eastAsia="sv-SE"/>
        </w:rPr>
        <w:t>, “</w:t>
      </w:r>
      <w:r w:rsidRPr="004C542E">
        <w:rPr>
          <w:rFonts w:ascii="Times New Roman" w:hAnsi="Times New Roman" w:cs="Times New Roman"/>
          <w:color w:val="312E25"/>
          <w:sz w:val="20"/>
          <w:szCs w:val="20"/>
          <w:lang w:eastAsia="sv-SE"/>
        </w:rPr>
        <w:t>Initial evaluation for Tx diversity schemes in PC5</w:t>
      </w:r>
      <w:r w:rsidR="00A17A98" w:rsidRPr="004C542E">
        <w:rPr>
          <w:rFonts w:ascii="Times New Roman" w:hAnsi="Times New Roman" w:cs="Times New Roman"/>
          <w:color w:val="312E25"/>
          <w:sz w:val="20"/>
          <w:szCs w:val="20"/>
          <w:lang w:eastAsia="sv-SE"/>
        </w:rPr>
        <w:t>,”</w:t>
      </w:r>
      <w:r w:rsidR="00A17A98">
        <w:rPr>
          <w:rFonts w:ascii="Times New Roman" w:hAnsi="Times New Roman" w:cs="Times New Roman"/>
          <w:color w:val="312E25"/>
          <w:sz w:val="20"/>
          <w:szCs w:val="20"/>
          <w:lang w:eastAsia="sv-SE"/>
        </w:rPr>
        <w:t xml:space="preserve"> </w:t>
      </w:r>
      <w:r w:rsidRPr="004C542E">
        <w:rPr>
          <w:rFonts w:ascii="Times New Roman" w:hAnsi="Times New Roman" w:cs="Times New Roman"/>
          <w:color w:val="312E25"/>
          <w:sz w:val="20"/>
          <w:szCs w:val="20"/>
          <w:lang w:eastAsia="sv-SE"/>
        </w:rPr>
        <w:t>CATT</w:t>
      </w:r>
      <w:bookmarkEnd w:id="24"/>
    </w:p>
    <w:p w14:paraId="054DBFF6" w14:textId="7A02A79C" w:rsidR="00FD71C8" w:rsidRPr="004C542E" w:rsidRDefault="00FD71C8" w:rsidP="00CC2D84">
      <w:pPr>
        <w:pStyle w:val="ListParagraph"/>
        <w:numPr>
          <w:ilvl w:val="0"/>
          <w:numId w:val="7"/>
        </w:numPr>
        <w:ind w:left="567" w:hanging="425"/>
        <w:rPr>
          <w:rFonts w:ascii="Times New Roman" w:hAnsi="Times New Roman" w:cs="Times New Roman"/>
          <w:color w:val="312E25"/>
          <w:sz w:val="20"/>
          <w:szCs w:val="20"/>
          <w:lang w:eastAsia="sv-SE"/>
        </w:rPr>
      </w:pPr>
      <w:bookmarkStart w:id="25" w:name="_Ref489633762"/>
      <w:r w:rsidRPr="004C542E">
        <w:rPr>
          <w:rFonts w:ascii="Times New Roman" w:hAnsi="Times New Roman" w:cs="Times New Roman"/>
          <w:color w:val="312E25"/>
          <w:sz w:val="20"/>
          <w:szCs w:val="20"/>
          <w:lang w:eastAsia="sv-SE"/>
        </w:rPr>
        <w:t>R1-1707563</w:t>
      </w:r>
      <w:r w:rsidR="00A17A98">
        <w:rPr>
          <w:rFonts w:ascii="Times New Roman" w:eastAsia="MS Mincho" w:hAnsi="Times New Roman" w:cs="Times New Roman"/>
          <w:iCs/>
          <w:sz w:val="20"/>
          <w:szCs w:val="20"/>
          <w:lang w:eastAsia="ja-JP"/>
        </w:rPr>
        <w:t>,</w:t>
      </w:r>
      <w:r w:rsidR="00A17A98" w:rsidRPr="004C542E">
        <w:rPr>
          <w:rFonts w:ascii="Times New Roman" w:eastAsia="MS Mincho" w:hAnsi="Times New Roman" w:cs="Times New Roman"/>
          <w:iCs/>
          <w:sz w:val="20"/>
          <w:szCs w:val="20"/>
          <w:lang w:eastAsia="ja-JP"/>
        </w:rPr>
        <w:tab/>
        <w:t>“</w:t>
      </w:r>
      <w:r w:rsidRPr="004C542E">
        <w:rPr>
          <w:rFonts w:ascii="Times New Roman" w:hAnsi="Times New Roman" w:cs="Times New Roman"/>
          <w:color w:val="312E25"/>
          <w:sz w:val="20"/>
          <w:szCs w:val="20"/>
          <w:lang w:eastAsia="sv-SE"/>
        </w:rPr>
        <w:t>Initial evaluation results for TxD schemes in the PC5 operation</w:t>
      </w:r>
      <w:r w:rsidR="00A17A98" w:rsidRPr="004C542E">
        <w:rPr>
          <w:rFonts w:ascii="Times New Roman" w:hAnsi="Times New Roman" w:cs="Times New Roman"/>
          <w:color w:val="312E25"/>
          <w:sz w:val="20"/>
          <w:szCs w:val="20"/>
          <w:lang w:eastAsia="sv-SE"/>
        </w:rPr>
        <w:t xml:space="preserve">,” </w:t>
      </w:r>
      <w:r w:rsidRPr="004C542E">
        <w:rPr>
          <w:rFonts w:ascii="Times New Roman" w:hAnsi="Times New Roman" w:cs="Times New Roman"/>
          <w:color w:val="312E25"/>
          <w:sz w:val="20"/>
          <w:szCs w:val="20"/>
          <w:lang w:eastAsia="sv-SE"/>
        </w:rPr>
        <w:t>LG Electronics</w:t>
      </w:r>
      <w:bookmarkEnd w:id="25"/>
    </w:p>
    <w:p w14:paraId="5892FAF2" w14:textId="5BDD9CCF" w:rsidR="00AB1D66" w:rsidRPr="005F7FDA" w:rsidRDefault="00FD71C8" w:rsidP="00CC2D84">
      <w:pPr>
        <w:pStyle w:val="ListParagraph"/>
        <w:numPr>
          <w:ilvl w:val="0"/>
          <w:numId w:val="7"/>
        </w:numPr>
        <w:ind w:left="567" w:hanging="425"/>
        <w:rPr>
          <w:rFonts w:ascii="Times New Roman" w:hAnsi="Times New Roman" w:cs="Times New Roman"/>
          <w:color w:val="312E25"/>
          <w:sz w:val="20"/>
          <w:szCs w:val="20"/>
          <w:lang w:eastAsia="sv-SE"/>
        </w:rPr>
      </w:pPr>
      <w:bookmarkStart w:id="26" w:name="_Ref489633868"/>
      <w:r w:rsidRPr="004C542E">
        <w:rPr>
          <w:rFonts w:ascii="Times New Roman" w:hAnsi="Times New Roman" w:cs="Times New Roman"/>
          <w:color w:val="312E25"/>
          <w:sz w:val="20"/>
          <w:szCs w:val="20"/>
          <w:lang w:eastAsia="sv-SE"/>
        </w:rPr>
        <w:t>R1-1707910</w:t>
      </w:r>
      <w:r w:rsidR="00A17A98">
        <w:rPr>
          <w:rFonts w:ascii="Times New Roman" w:eastAsia="MS Mincho" w:hAnsi="Times New Roman" w:cs="Times New Roman"/>
          <w:iCs/>
          <w:sz w:val="20"/>
          <w:szCs w:val="20"/>
          <w:lang w:eastAsia="ja-JP"/>
        </w:rPr>
        <w:t>,</w:t>
      </w:r>
      <w:r w:rsidR="00A17A98" w:rsidRPr="004C542E">
        <w:rPr>
          <w:rFonts w:ascii="Times New Roman" w:eastAsia="MS Mincho" w:hAnsi="Times New Roman" w:cs="Times New Roman"/>
          <w:iCs/>
          <w:sz w:val="20"/>
          <w:szCs w:val="20"/>
          <w:lang w:eastAsia="ja-JP"/>
        </w:rPr>
        <w:tab/>
        <w:t>“</w:t>
      </w:r>
      <w:r w:rsidRPr="004C542E">
        <w:rPr>
          <w:rFonts w:ascii="Times New Roman" w:hAnsi="Times New Roman" w:cs="Times New Roman"/>
          <w:color w:val="312E25"/>
          <w:sz w:val="20"/>
          <w:szCs w:val="20"/>
          <w:lang w:eastAsia="sv-SE"/>
        </w:rPr>
        <w:t>Evaluation results for Tx diversity for PSCCH</w:t>
      </w:r>
      <w:r w:rsidR="00A17A98" w:rsidRPr="004C542E">
        <w:rPr>
          <w:rFonts w:ascii="Times New Roman" w:hAnsi="Times New Roman" w:cs="Times New Roman"/>
          <w:color w:val="312E25"/>
          <w:sz w:val="20"/>
          <w:szCs w:val="20"/>
          <w:lang w:eastAsia="sv-SE"/>
        </w:rPr>
        <w:t xml:space="preserve">,” </w:t>
      </w:r>
      <w:r w:rsidRPr="004C542E">
        <w:rPr>
          <w:rFonts w:ascii="Times New Roman" w:hAnsi="Times New Roman" w:cs="Times New Roman"/>
          <w:color w:val="312E25"/>
          <w:sz w:val="20"/>
          <w:szCs w:val="20"/>
          <w:lang w:eastAsia="sv-SE"/>
        </w:rPr>
        <w:t>Samsung</w:t>
      </w:r>
      <w:bookmarkEnd w:id="26"/>
    </w:p>
    <w:p w14:paraId="39D740F6" w14:textId="5376C405" w:rsidR="00FD71C8" w:rsidRDefault="00FD71C8" w:rsidP="00CC2D84">
      <w:pPr>
        <w:pStyle w:val="ListParagraph"/>
        <w:numPr>
          <w:ilvl w:val="0"/>
          <w:numId w:val="7"/>
        </w:numPr>
        <w:ind w:left="567" w:hanging="425"/>
        <w:rPr>
          <w:rFonts w:ascii="Times New Roman" w:hAnsi="Times New Roman" w:cs="Times New Roman"/>
          <w:color w:val="312E25"/>
          <w:sz w:val="20"/>
          <w:szCs w:val="20"/>
          <w:lang w:eastAsia="sv-SE"/>
        </w:rPr>
      </w:pPr>
      <w:bookmarkStart w:id="27" w:name="_Ref489634035"/>
      <w:r w:rsidRPr="004C542E">
        <w:rPr>
          <w:rFonts w:ascii="Times New Roman" w:hAnsi="Times New Roman" w:cs="Times New Roman"/>
          <w:color w:val="312E25"/>
          <w:sz w:val="20"/>
          <w:szCs w:val="20"/>
          <w:lang w:eastAsia="sv-SE"/>
        </w:rPr>
        <w:t>R1-1708559</w:t>
      </w:r>
      <w:r w:rsidR="00A17A98">
        <w:rPr>
          <w:rFonts w:ascii="Times New Roman" w:eastAsia="MS Mincho" w:hAnsi="Times New Roman" w:cs="Times New Roman"/>
          <w:iCs/>
          <w:sz w:val="20"/>
          <w:szCs w:val="20"/>
          <w:lang w:eastAsia="ja-JP"/>
        </w:rPr>
        <w:t>,</w:t>
      </w:r>
      <w:r w:rsidR="00A17A98" w:rsidRPr="004C542E">
        <w:rPr>
          <w:rFonts w:ascii="Times New Roman" w:eastAsia="MS Mincho" w:hAnsi="Times New Roman" w:cs="Times New Roman"/>
          <w:iCs/>
          <w:sz w:val="20"/>
          <w:szCs w:val="20"/>
          <w:lang w:eastAsia="ja-JP"/>
        </w:rPr>
        <w:tab/>
        <w:t>“</w:t>
      </w:r>
      <w:r w:rsidRPr="004C542E">
        <w:rPr>
          <w:rFonts w:ascii="Times New Roman" w:hAnsi="Times New Roman" w:cs="Times New Roman"/>
          <w:color w:val="312E25"/>
          <w:sz w:val="20"/>
          <w:szCs w:val="20"/>
          <w:lang w:eastAsia="sv-SE"/>
        </w:rPr>
        <w:t>Initial evaluations of transmit diversity schemes for V2X PC5</w:t>
      </w:r>
      <w:r w:rsidR="00A17A98" w:rsidRPr="004C542E">
        <w:rPr>
          <w:rFonts w:ascii="Times New Roman" w:hAnsi="Times New Roman" w:cs="Times New Roman"/>
          <w:color w:val="312E25"/>
          <w:sz w:val="20"/>
          <w:szCs w:val="20"/>
          <w:lang w:eastAsia="sv-SE"/>
        </w:rPr>
        <w:t xml:space="preserve">,” </w:t>
      </w:r>
      <w:r w:rsidRPr="004C542E">
        <w:rPr>
          <w:rFonts w:ascii="Times New Roman" w:hAnsi="Times New Roman" w:cs="Times New Roman"/>
          <w:color w:val="312E25"/>
          <w:sz w:val="20"/>
          <w:szCs w:val="20"/>
          <w:lang w:eastAsia="sv-SE"/>
        </w:rPr>
        <w:t>Nokia, Alcatel-Lucent Shanghai Bell</w:t>
      </w:r>
      <w:bookmarkEnd w:id="27"/>
    </w:p>
    <w:p w14:paraId="6A7ECB27" w14:textId="495E5301" w:rsidR="00606D00" w:rsidRDefault="00606D00" w:rsidP="00CC2D84">
      <w:pPr>
        <w:pStyle w:val="ListParagraph"/>
        <w:numPr>
          <w:ilvl w:val="0"/>
          <w:numId w:val="7"/>
        </w:numPr>
        <w:ind w:left="567" w:hanging="425"/>
        <w:rPr>
          <w:rFonts w:ascii="Times New Roman" w:hAnsi="Times New Roman" w:cs="Times New Roman"/>
          <w:color w:val="312E25"/>
          <w:sz w:val="20"/>
          <w:szCs w:val="20"/>
          <w:lang w:eastAsia="sv-SE"/>
        </w:rPr>
      </w:pPr>
      <w:bookmarkStart w:id="28" w:name="_Ref494461273"/>
      <w:r w:rsidRPr="004C542E">
        <w:rPr>
          <w:rFonts w:ascii="Times New Roman" w:hAnsi="Times New Roman" w:cs="Times New Roman"/>
          <w:color w:val="312E25"/>
          <w:sz w:val="20"/>
          <w:szCs w:val="20"/>
          <w:lang w:eastAsia="sv-SE"/>
        </w:rPr>
        <w:t>R1-1708558</w:t>
      </w:r>
      <w:r w:rsidR="00A17A98">
        <w:rPr>
          <w:rFonts w:ascii="Times New Roman" w:eastAsia="MS Mincho" w:hAnsi="Times New Roman" w:cs="Times New Roman"/>
          <w:iCs/>
          <w:sz w:val="20"/>
          <w:szCs w:val="20"/>
          <w:lang w:eastAsia="ja-JP"/>
        </w:rPr>
        <w:t>,</w:t>
      </w:r>
      <w:r w:rsidR="00A17A98" w:rsidRPr="004C542E">
        <w:rPr>
          <w:rFonts w:ascii="Times New Roman" w:eastAsia="MS Mincho" w:hAnsi="Times New Roman" w:cs="Times New Roman"/>
          <w:iCs/>
          <w:sz w:val="20"/>
          <w:szCs w:val="20"/>
          <w:lang w:eastAsia="ja-JP"/>
        </w:rPr>
        <w:tab/>
        <w:t>“</w:t>
      </w:r>
      <w:r w:rsidRPr="004C542E">
        <w:rPr>
          <w:rFonts w:ascii="Times New Roman" w:hAnsi="Times New Roman" w:cs="Times New Roman"/>
          <w:color w:val="312E25"/>
          <w:sz w:val="20"/>
          <w:szCs w:val="20"/>
          <w:lang w:eastAsia="sv-SE"/>
        </w:rPr>
        <w:t>Transmit diversity schemes for V2X PC5</w:t>
      </w:r>
      <w:r w:rsidR="00A17A98" w:rsidRPr="004C542E">
        <w:rPr>
          <w:rFonts w:ascii="Times New Roman" w:hAnsi="Times New Roman" w:cs="Times New Roman"/>
          <w:color w:val="312E25"/>
          <w:sz w:val="20"/>
          <w:szCs w:val="20"/>
          <w:lang w:eastAsia="sv-SE"/>
        </w:rPr>
        <w:t xml:space="preserve">,” </w:t>
      </w:r>
      <w:r w:rsidRPr="004C542E">
        <w:rPr>
          <w:rFonts w:ascii="Times New Roman" w:hAnsi="Times New Roman" w:cs="Times New Roman"/>
          <w:color w:val="312E25"/>
          <w:sz w:val="20"/>
          <w:szCs w:val="20"/>
          <w:lang w:eastAsia="sv-SE"/>
        </w:rPr>
        <w:t>Nokia,</w:t>
      </w:r>
      <w:r w:rsidRPr="00AC00AF">
        <w:rPr>
          <w:rFonts w:ascii="Times New Roman" w:hAnsi="Times New Roman" w:cs="Times New Roman"/>
          <w:color w:val="312E25"/>
          <w:sz w:val="20"/>
          <w:szCs w:val="20"/>
          <w:lang w:eastAsia="sv-SE"/>
        </w:rPr>
        <w:t xml:space="preserve"> Alcatel-Lucent Shanghai</w:t>
      </w:r>
      <w:r w:rsidRPr="00BA6A12">
        <w:rPr>
          <w:rFonts w:ascii="Times New Roman" w:hAnsi="Times New Roman" w:cs="Times New Roman"/>
          <w:color w:val="312E25"/>
          <w:sz w:val="20"/>
          <w:szCs w:val="20"/>
          <w:lang w:eastAsia="sv-SE"/>
        </w:rPr>
        <w:t xml:space="preserve"> Bell</w:t>
      </w:r>
      <w:bookmarkEnd w:id="28"/>
    </w:p>
    <w:p w14:paraId="42A32FD2" w14:textId="6ADFD639" w:rsidR="00937C1B" w:rsidRPr="00937C1B" w:rsidRDefault="00937C1B" w:rsidP="006E39CD">
      <w:pPr>
        <w:pStyle w:val="ListParagraph"/>
        <w:numPr>
          <w:ilvl w:val="0"/>
          <w:numId w:val="7"/>
        </w:numPr>
        <w:ind w:left="567" w:hanging="425"/>
        <w:rPr>
          <w:rFonts w:ascii="Times New Roman" w:hAnsi="Times New Roman" w:cs="Times New Roman"/>
          <w:color w:val="312E25"/>
          <w:sz w:val="20"/>
          <w:szCs w:val="20"/>
          <w:lang w:eastAsia="sv-SE"/>
        </w:rPr>
      </w:pPr>
      <w:bookmarkStart w:id="29" w:name="_Ref494461297"/>
      <w:r w:rsidRPr="0047075C">
        <w:rPr>
          <w:rFonts w:ascii="Times New Roman" w:hAnsi="Times New Roman" w:cs="Times New Roman"/>
          <w:color w:val="312E25"/>
          <w:sz w:val="20"/>
          <w:lang w:eastAsia="sv-SE"/>
        </w:rPr>
        <w:t xml:space="preserve">R1-1712485, </w:t>
      </w:r>
      <w:r w:rsidRPr="0047075C">
        <w:rPr>
          <w:rFonts w:ascii="Times New Roman" w:hAnsi="Times New Roman" w:cs="Times New Roman"/>
          <w:color w:val="312E25"/>
          <w:sz w:val="20"/>
          <w:szCs w:val="20"/>
          <w:lang w:eastAsia="sv-SE"/>
        </w:rPr>
        <w:t>“</w:t>
      </w:r>
      <w:r w:rsidRPr="0047075C">
        <w:rPr>
          <w:rFonts w:ascii="Times New Roman" w:hAnsi="Times New Roman" w:cs="Times New Roman"/>
          <w:color w:val="312E25"/>
          <w:sz w:val="20"/>
          <w:lang w:eastAsia="sv-SE"/>
        </w:rPr>
        <w:t>Evaluation of Candidate Transmit Diversity Schemes for LTE V2V Sidelink Communication</w:t>
      </w:r>
      <w:r w:rsidRPr="0047075C">
        <w:rPr>
          <w:rFonts w:ascii="Times New Roman" w:hAnsi="Times New Roman" w:cs="Times New Roman"/>
          <w:color w:val="312E25"/>
          <w:sz w:val="20"/>
          <w:szCs w:val="20"/>
          <w:lang w:eastAsia="sv-SE"/>
        </w:rPr>
        <w:t>”</w:t>
      </w:r>
      <w:r w:rsidRPr="0047075C">
        <w:rPr>
          <w:color w:val="312E25"/>
          <w:lang w:eastAsia="sv-SE"/>
        </w:rPr>
        <w:t xml:space="preserve">, </w:t>
      </w:r>
      <w:r w:rsidRPr="0047075C">
        <w:rPr>
          <w:rFonts w:ascii="Times New Roman" w:hAnsi="Times New Roman" w:cs="Times New Roman"/>
          <w:color w:val="312E25"/>
          <w:sz w:val="20"/>
          <w:lang w:eastAsia="sv-SE"/>
        </w:rPr>
        <w:t>Intel Corporation</w:t>
      </w:r>
      <w:bookmarkEnd w:id="29"/>
    </w:p>
    <w:p w14:paraId="306225AB" w14:textId="6359FA60" w:rsidR="00E91A29" w:rsidRPr="00937C1B" w:rsidRDefault="00C6213C" w:rsidP="00CC2D84">
      <w:pPr>
        <w:pStyle w:val="ListParagraph"/>
        <w:numPr>
          <w:ilvl w:val="0"/>
          <w:numId w:val="7"/>
        </w:numPr>
        <w:ind w:left="567" w:hanging="425"/>
        <w:rPr>
          <w:rFonts w:ascii="Times New Roman" w:hAnsi="Times New Roman" w:cs="Times New Roman"/>
          <w:color w:val="312E25"/>
          <w:sz w:val="20"/>
          <w:szCs w:val="20"/>
          <w:lang w:eastAsia="sv-SE"/>
        </w:rPr>
      </w:pPr>
      <w:bookmarkStart w:id="30" w:name="_Ref494461314"/>
      <w:r w:rsidRPr="00EF787E">
        <w:rPr>
          <w:rFonts w:ascii="Times New Roman" w:hAnsi="Times New Roman"/>
          <w:color w:val="312E25"/>
          <w:sz w:val="20"/>
          <w:lang w:eastAsia="sv-SE"/>
        </w:rPr>
        <w:t>C. Ciochina, D. Castelain, D. Mottier and H. Sari, “A Space-Frequency Block Code for Single-Carrier FDMA,” Electronics Letters 44(11):690 - 691 February 2008.</w:t>
      </w:r>
      <w:bookmarkEnd w:id="30"/>
    </w:p>
    <w:p w14:paraId="2A005839" w14:textId="4119F7FD" w:rsidR="00420D28" w:rsidRPr="00420D28" w:rsidRDefault="00FF50B2" w:rsidP="005F7FDA">
      <w:r w:rsidRPr="003314CC">
        <w:rPr>
          <w:color w:val="312E25"/>
          <w:highlight w:val="yellow"/>
          <w:lang w:eastAsia="sv-SE"/>
        </w:rPr>
        <w:t xml:space="preserve"> </w:t>
      </w:r>
      <w:bookmarkEnd w:id="12"/>
      <w:bookmarkEnd w:id="13"/>
    </w:p>
    <w:sectPr w:rsidR="00420D28" w:rsidRPr="00420D28" w:rsidSect="004B319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50E68" w14:textId="77777777" w:rsidR="00B9238C" w:rsidRDefault="00B9238C">
      <w:r>
        <w:separator/>
      </w:r>
    </w:p>
  </w:endnote>
  <w:endnote w:type="continuationSeparator" w:id="0">
    <w:p w14:paraId="19743194" w14:textId="77777777" w:rsidR="00B9238C" w:rsidRDefault="00B9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A07604" w:rsidRDefault="00A07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A07604" w:rsidRDefault="00A076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A07604" w:rsidRDefault="00A07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A022C" w14:textId="77777777" w:rsidR="00B9238C" w:rsidRDefault="00B9238C">
      <w:r>
        <w:separator/>
      </w:r>
    </w:p>
  </w:footnote>
  <w:footnote w:type="continuationSeparator" w:id="0">
    <w:p w14:paraId="2B41BC80" w14:textId="77777777" w:rsidR="00B9238C" w:rsidRDefault="00B92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A07604" w:rsidRDefault="00A076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A07604" w:rsidRDefault="00A076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A07604" w:rsidRDefault="00A07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E4050BF"/>
    <w:multiLevelType w:val="hybridMultilevel"/>
    <w:tmpl w:val="21DA22D4"/>
    <w:lvl w:ilvl="0" w:tplc="E6247E56">
      <w:start w:val="1"/>
      <w:numFmt w:val="decimal"/>
      <w:lvlText w:val="%1."/>
      <w:lvlJc w:val="left"/>
      <w:pPr>
        <w:ind w:left="780" w:hanging="360"/>
      </w:pPr>
      <w:rPr>
        <w:rFonts w:hint="default"/>
      </w:r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2" w15:restartNumberingAfterBreak="0">
    <w:nsid w:val="393D09BA"/>
    <w:multiLevelType w:val="hybridMultilevel"/>
    <w:tmpl w:val="91FAB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4F3D92"/>
    <w:multiLevelType w:val="hybridMultilevel"/>
    <w:tmpl w:val="3C54CE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152435"/>
    <w:multiLevelType w:val="hybridMultilevel"/>
    <w:tmpl w:val="5C34C1C4"/>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3C24F0D"/>
    <w:multiLevelType w:val="hybridMultilevel"/>
    <w:tmpl w:val="821856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7F27586"/>
    <w:multiLevelType w:val="hybridMultilevel"/>
    <w:tmpl w:val="9DCE64C6"/>
    <w:lvl w:ilvl="0" w:tplc="57D4C2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C20D17"/>
    <w:multiLevelType w:val="hybridMultilevel"/>
    <w:tmpl w:val="CDE45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78C071D"/>
    <w:multiLevelType w:val="hybridMultilevel"/>
    <w:tmpl w:val="1FBCC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2"/>
  </w:num>
  <w:num w:numId="2">
    <w:abstractNumId w:val="18"/>
  </w:num>
  <w:num w:numId="3">
    <w:abstractNumId w:val="16"/>
  </w:num>
  <w:num w:numId="4">
    <w:abstractNumId w:val="6"/>
  </w:num>
  <w:num w:numId="5">
    <w:abstractNumId w:val="10"/>
  </w:num>
  <w:num w:numId="6">
    <w:abstractNumId w:val="19"/>
  </w:num>
  <w:num w:numId="7">
    <w:abstractNumId w:val="5"/>
  </w:num>
  <w:num w:numId="8">
    <w:abstractNumId w:val="15"/>
  </w:num>
  <w:num w:numId="9">
    <w:abstractNumId w:val="3"/>
  </w:num>
  <w:num w:numId="10">
    <w:abstractNumId w:val="9"/>
  </w:num>
  <w:num w:numId="11">
    <w:abstractNumId w:val="1"/>
  </w:num>
  <w:num w:numId="12">
    <w:abstractNumId w:val="11"/>
  </w:num>
  <w:num w:numId="13">
    <w:abstractNumId w:val="8"/>
  </w:num>
  <w:num w:numId="14">
    <w:abstractNumId w:val="14"/>
  </w:num>
  <w:num w:numId="15">
    <w:abstractNumId w:val="7"/>
  </w:num>
  <w:num w:numId="16">
    <w:abstractNumId w:val="13"/>
  </w:num>
  <w:num w:numId="17">
    <w:abstractNumId w:val="4"/>
  </w:num>
  <w:num w:numId="18">
    <w:abstractNumId w:val="2"/>
  </w:num>
  <w:num w:numId="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DF2"/>
    <w:rsid w:val="00024E5B"/>
    <w:rsid w:val="00025884"/>
    <w:rsid w:val="00025AFA"/>
    <w:rsid w:val="00025EB1"/>
    <w:rsid w:val="00025F50"/>
    <w:rsid w:val="00026106"/>
    <w:rsid w:val="00026A7A"/>
    <w:rsid w:val="0002710F"/>
    <w:rsid w:val="0002720F"/>
    <w:rsid w:val="000277B9"/>
    <w:rsid w:val="00027F6E"/>
    <w:rsid w:val="0003039E"/>
    <w:rsid w:val="000304A6"/>
    <w:rsid w:val="00030779"/>
    <w:rsid w:val="000309F5"/>
    <w:rsid w:val="00030B04"/>
    <w:rsid w:val="00030F8E"/>
    <w:rsid w:val="0003189D"/>
    <w:rsid w:val="00031B04"/>
    <w:rsid w:val="00031BCF"/>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8EE"/>
    <w:rsid w:val="00037957"/>
    <w:rsid w:val="00037FE1"/>
    <w:rsid w:val="000401C2"/>
    <w:rsid w:val="0004027D"/>
    <w:rsid w:val="000402D2"/>
    <w:rsid w:val="000404CA"/>
    <w:rsid w:val="000407EF"/>
    <w:rsid w:val="00040BD3"/>
    <w:rsid w:val="00040C0E"/>
    <w:rsid w:val="00040F6C"/>
    <w:rsid w:val="0004138C"/>
    <w:rsid w:val="00041533"/>
    <w:rsid w:val="00041540"/>
    <w:rsid w:val="0004168A"/>
    <w:rsid w:val="0004173B"/>
    <w:rsid w:val="00041996"/>
    <w:rsid w:val="00041B67"/>
    <w:rsid w:val="00041D31"/>
    <w:rsid w:val="000420B4"/>
    <w:rsid w:val="000425BC"/>
    <w:rsid w:val="0004298D"/>
    <w:rsid w:val="00042BB8"/>
    <w:rsid w:val="00043117"/>
    <w:rsid w:val="0004332F"/>
    <w:rsid w:val="000436DB"/>
    <w:rsid w:val="000438BB"/>
    <w:rsid w:val="00043E1C"/>
    <w:rsid w:val="00043F81"/>
    <w:rsid w:val="000447AE"/>
    <w:rsid w:val="00044DEB"/>
    <w:rsid w:val="000451DD"/>
    <w:rsid w:val="00045A2D"/>
    <w:rsid w:val="00045CCB"/>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47B"/>
    <w:rsid w:val="00052AE8"/>
    <w:rsid w:val="00052B1B"/>
    <w:rsid w:val="00053A2B"/>
    <w:rsid w:val="000543DA"/>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4A4"/>
    <w:rsid w:val="00071DAF"/>
    <w:rsid w:val="00071F64"/>
    <w:rsid w:val="0007296B"/>
    <w:rsid w:val="00072A3A"/>
    <w:rsid w:val="00072B13"/>
    <w:rsid w:val="00072B81"/>
    <w:rsid w:val="00072C26"/>
    <w:rsid w:val="00072FD3"/>
    <w:rsid w:val="00073226"/>
    <w:rsid w:val="0007346C"/>
    <w:rsid w:val="00073504"/>
    <w:rsid w:val="00073630"/>
    <w:rsid w:val="000738BB"/>
    <w:rsid w:val="00073B8B"/>
    <w:rsid w:val="00074475"/>
    <w:rsid w:val="000745B0"/>
    <w:rsid w:val="000748B1"/>
    <w:rsid w:val="00074C22"/>
    <w:rsid w:val="0007590E"/>
    <w:rsid w:val="00075A8C"/>
    <w:rsid w:val="00075E5D"/>
    <w:rsid w:val="0007645D"/>
    <w:rsid w:val="0007674A"/>
    <w:rsid w:val="0007680F"/>
    <w:rsid w:val="000769CA"/>
    <w:rsid w:val="000770AE"/>
    <w:rsid w:val="000772A9"/>
    <w:rsid w:val="00077304"/>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D0C"/>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176"/>
    <w:rsid w:val="000A44CD"/>
    <w:rsid w:val="000A47FC"/>
    <w:rsid w:val="000A4FB2"/>
    <w:rsid w:val="000A5435"/>
    <w:rsid w:val="000A5821"/>
    <w:rsid w:val="000A5885"/>
    <w:rsid w:val="000A5918"/>
    <w:rsid w:val="000A6D7D"/>
    <w:rsid w:val="000A7522"/>
    <w:rsid w:val="000A7B48"/>
    <w:rsid w:val="000A7C96"/>
    <w:rsid w:val="000A7E46"/>
    <w:rsid w:val="000A7F51"/>
    <w:rsid w:val="000B0049"/>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4ED2"/>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19"/>
    <w:rsid w:val="000D6D8D"/>
    <w:rsid w:val="000D76D0"/>
    <w:rsid w:val="000D7F28"/>
    <w:rsid w:val="000E048A"/>
    <w:rsid w:val="000E060F"/>
    <w:rsid w:val="000E0945"/>
    <w:rsid w:val="000E0A1E"/>
    <w:rsid w:val="000E1522"/>
    <w:rsid w:val="000E254D"/>
    <w:rsid w:val="000E30E0"/>
    <w:rsid w:val="000E31D9"/>
    <w:rsid w:val="000E38E6"/>
    <w:rsid w:val="000E3EAC"/>
    <w:rsid w:val="000E4235"/>
    <w:rsid w:val="000E446E"/>
    <w:rsid w:val="000E4883"/>
    <w:rsid w:val="000E4F12"/>
    <w:rsid w:val="000E50FA"/>
    <w:rsid w:val="000E5142"/>
    <w:rsid w:val="000E514C"/>
    <w:rsid w:val="000E56DF"/>
    <w:rsid w:val="000E5DAC"/>
    <w:rsid w:val="000E649F"/>
    <w:rsid w:val="000E65B5"/>
    <w:rsid w:val="000E682B"/>
    <w:rsid w:val="000E7158"/>
    <w:rsid w:val="000E72F9"/>
    <w:rsid w:val="000F1162"/>
    <w:rsid w:val="000F1472"/>
    <w:rsid w:val="000F18EC"/>
    <w:rsid w:val="000F1F00"/>
    <w:rsid w:val="000F2263"/>
    <w:rsid w:val="000F2FB7"/>
    <w:rsid w:val="000F3B2A"/>
    <w:rsid w:val="000F3E58"/>
    <w:rsid w:val="000F4057"/>
    <w:rsid w:val="000F4F15"/>
    <w:rsid w:val="000F560F"/>
    <w:rsid w:val="000F579B"/>
    <w:rsid w:val="000F5F76"/>
    <w:rsid w:val="000F6258"/>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C25"/>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183"/>
    <w:rsid w:val="00113497"/>
    <w:rsid w:val="00113752"/>
    <w:rsid w:val="0011384E"/>
    <w:rsid w:val="001139BD"/>
    <w:rsid w:val="00113D2A"/>
    <w:rsid w:val="00114700"/>
    <w:rsid w:val="00114E1E"/>
    <w:rsid w:val="00114F7F"/>
    <w:rsid w:val="001151B7"/>
    <w:rsid w:val="001153ED"/>
    <w:rsid w:val="00115567"/>
    <w:rsid w:val="00115B0A"/>
    <w:rsid w:val="00116035"/>
    <w:rsid w:val="00116FF5"/>
    <w:rsid w:val="0011712D"/>
    <w:rsid w:val="0011789A"/>
    <w:rsid w:val="00117A64"/>
    <w:rsid w:val="00117AB8"/>
    <w:rsid w:val="00117EFE"/>
    <w:rsid w:val="001203B4"/>
    <w:rsid w:val="001203C0"/>
    <w:rsid w:val="00120BB4"/>
    <w:rsid w:val="00120DB7"/>
    <w:rsid w:val="001218EF"/>
    <w:rsid w:val="00121A77"/>
    <w:rsid w:val="00121CA5"/>
    <w:rsid w:val="00122798"/>
    <w:rsid w:val="00122D8E"/>
    <w:rsid w:val="00123520"/>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760"/>
    <w:rsid w:val="00130884"/>
    <w:rsid w:val="00131162"/>
    <w:rsid w:val="00131312"/>
    <w:rsid w:val="00131588"/>
    <w:rsid w:val="00131689"/>
    <w:rsid w:val="00131877"/>
    <w:rsid w:val="00131978"/>
    <w:rsid w:val="001320C2"/>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8F4"/>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5EA"/>
    <w:rsid w:val="001756F5"/>
    <w:rsid w:val="0017575D"/>
    <w:rsid w:val="00175836"/>
    <w:rsid w:val="00175A17"/>
    <w:rsid w:val="00175B93"/>
    <w:rsid w:val="001760D7"/>
    <w:rsid w:val="00176275"/>
    <w:rsid w:val="0017647C"/>
    <w:rsid w:val="0017652D"/>
    <w:rsid w:val="001776B3"/>
    <w:rsid w:val="0017790F"/>
    <w:rsid w:val="00177E47"/>
    <w:rsid w:val="00177EEA"/>
    <w:rsid w:val="0018032A"/>
    <w:rsid w:val="001808D9"/>
    <w:rsid w:val="0018104A"/>
    <w:rsid w:val="001810FF"/>
    <w:rsid w:val="001811CE"/>
    <w:rsid w:val="001815A1"/>
    <w:rsid w:val="00181669"/>
    <w:rsid w:val="001817B0"/>
    <w:rsid w:val="00182093"/>
    <w:rsid w:val="00183579"/>
    <w:rsid w:val="001839D0"/>
    <w:rsid w:val="00183A8D"/>
    <w:rsid w:val="00184512"/>
    <w:rsid w:val="00184713"/>
    <w:rsid w:val="00184BEE"/>
    <w:rsid w:val="00184CD0"/>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29"/>
    <w:rsid w:val="001B1760"/>
    <w:rsid w:val="001B1932"/>
    <w:rsid w:val="001B1A7C"/>
    <w:rsid w:val="001B1AB7"/>
    <w:rsid w:val="001B1DEF"/>
    <w:rsid w:val="001B1FFA"/>
    <w:rsid w:val="001B22C5"/>
    <w:rsid w:val="001B27AA"/>
    <w:rsid w:val="001B2D47"/>
    <w:rsid w:val="001B2ECC"/>
    <w:rsid w:val="001B345B"/>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0A9"/>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135"/>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5BC"/>
    <w:rsid w:val="001E1880"/>
    <w:rsid w:val="001E19B6"/>
    <w:rsid w:val="001E1E1A"/>
    <w:rsid w:val="001E2151"/>
    <w:rsid w:val="001E25A7"/>
    <w:rsid w:val="001E3105"/>
    <w:rsid w:val="001E396A"/>
    <w:rsid w:val="001E3C3F"/>
    <w:rsid w:val="001E3CFC"/>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A69"/>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738"/>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54ED"/>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C8C"/>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AB5"/>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A6B"/>
    <w:rsid w:val="00243F53"/>
    <w:rsid w:val="00244414"/>
    <w:rsid w:val="00244531"/>
    <w:rsid w:val="00244A05"/>
    <w:rsid w:val="00244C23"/>
    <w:rsid w:val="00244F34"/>
    <w:rsid w:val="00245391"/>
    <w:rsid w:val="002454E1"/>
    <w:rsid w:val="002458FB"/>
    <w:rsid w:val="00245FF6"/>
    <w:rsid w:val="00246597"/>
    <w:rsid w:val="00246C16"/>
    <w:rsid w:val="0024784E"/>
    <w:rsid w:val="002501D9"/>
    <w:rsid w:val="00250580"/>
    <w:rsid w:val="002505A7"/>
    <w:rsid w:val="002509C7"/>
    <w:rsid w:val="002512C1"/>
    <w:rsid w:val="00251772"/>
    <w:rsid w:val="002518D7"/>
    <w:rsid w:val="00252076"/>
    <w:rsid w:val="00252095"/>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999"/>
    <w:rsid w:val="00267FF7"/>
    <w:rsid w:val="00270155"/>
    <w:rsid w:val="0027034F"/>
    <w:rsid w:val="0027046E"/>
    <w:rsid w:val="002706A7"/>
    <w:rsid w:val="0027075B"/>
    <w:rsid w:val="00270982"/>
    <w:rsid w:val="00270C6D"/>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68A4"/>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792"/>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48C"/>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A4E"/>
    <w:rsid w:val="002A2D8A"/>
    <w:rsid w:val="002A2E86"/>
    <w:rsid w:val="002A2ED4"/>
    <w:rsid w:val="002A3279"/>
    <w:rsid w:val="002A37D0"/>
    <w:rsid w:val="002A38E2"/>
    <w:rsid w:val="002A394B"/>
    <w:rsid w:val="002A3D45"/>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B2"/>
    <w:rsid w:val="002C69E6"/>
    <w:rsid w:val="002C6AFB"/>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9D7"/>
    <w:rsid w:val="002D4ABF"/>
    <w:rsid w:val="002D5386"/>
    <w:rsid w:val="002D54B7"/>
    <w:rsid w:val="002D5632"/>
    <w:rsid w:val="002D5BA2"/>
    <w:rsid w:val="002D5CCC"/>
    <w:rsid w:val="002D5F75"/>
    <w:rsid w:val="002D5FD8"/>
    <w:rsid w:val="002D63E0"/>
    <w:rsid w:val="002D69AE"/>
    <w:rsid w:val="002D751B"/>
    <w:rsid w:val="002D7713"/>
    <w:rsid w:val="002D7FD1"/>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1EDE"/>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6C"/>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048"/>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C81"/>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4CC"/>
    <w:rsid w:val="0033175A"/>
    <w:rsid w:val="0033186E"/>
    <w:rsid w:val="00331945"/>
    <w:rsid w:val="00331C3E"/>
    <w:rsid w:val="003321F5"/>
    <w:rsid w:val="00332753"/>
    <w:rsid w:val="003329AB"/>
    <w:rsid w:val="00332CC3"/>
    <w:rsid w:val="00332D9C"/>
    <w:rsid w:val="00332F8E"/>
    <w:rsid w:val="0033304D"/>
    <w:rsid w:val="00333302"/>
    <w:rsid w:val="00333556"/>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2FE7"/>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969"/>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78B"/>
    <w:rsid w:val="00360E35"/>
    <w:rsid w:val="00360F5E"/>
    <w:rsid w:val="003615D9"/>
    <w:rsid w:val="003616B7"/>
    <w:rsid w:val="00361A50"/>
    <w:rsid w:val="00361D26"/>
    <w:rsid w:val="003621A7"/>
    <w:rsid w:val="0036233C"/>
    <w:rsid w:val="00362B27"/>
    <w:rsid w:val="00362B8F"/>
    <w:rsid w:val="00363AE3"/>
    <w:rsid w:val="0036431D"/>
    <w:rsid w:val="003643EF"/>
    <w:rsid w:val="00364561"/>
    <w:rsid w:val="0036475F"/>
    <w:rsid w:val="00364884"/>
    <w:rsid w:val="00364C80"/>
    <w:rsid w:val="0036523B"/>
    <w:rsid w:val="003652D6"/>
    <w:rsid w:val="00365564"/>
    <w:rsid w:val="00365644"/>
    <w:rsid w:val="00365D1E"/>
    <w:rsid w:val="0036649B"/>
    <w:rsid w:val="0036663A"/>
    <w:rsid w:val="00366B0C"/>
    <w:rsid w:val="00366E72"/>
    <w:rsid w:val="00366EBA"/>
    <w:rsid w:val="00366FC5"/>
    <w:rsid w:val="00367278"/>
    <w:rsid w:val="003673C1"/>
    <w:rsid w:val="00367452"/>
    <w:rsid w:val="003675AD"/>
    <w:rsid w:val="003676AF"/>
    <w:rsid w:val="00367966"/>
    <w:rsid w:val="00367AD8"/>
    <w:rsid w:val="00367E44"/>
    <w:rsid w:val="00367F30"/>
    <w:rsid w:val="0037044E"/>
    <w:rsid w:val="00370842"/>
    <w:rsid w:val="003708E2"/>
    <w:rsid w:val="00370B4F"/>
    <w:rsid w:val="00371277"/>
    <w:rsid w:val="003713EA"/>
    <w:rsid w:val="00371626"/>
    <w:rsid w:val="00371733"/>
    <w:rsid w:val="00371866"/>
    <w:rsid w:val="00371954"/>
    <w:rsid w:val="003719EB"/>
    <w:rsid w:val="00371AD0"/>
    <w:rsid w:val="00372ECC"/>
    <w:rsid w:val="00373181"/>
    <w:rsid w:val="00373B79"/>
    <w:rsid w:val="00373DE6"/>
    <w:rsid w:val="00373E4A"/>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20B1"/>
    <w:rsid w:val="00382B4F"/>
    <w:rsid w:val="00382FBA"/>
    <w:rsid w:val="00383742"/>
    <w:rsid w:val="0038404A"/>
    <w:rsid w:val="0038409C"/>
    <w:rsid w:val="0038420A"/>
    <w:rsid w:val="0038443A"/>
    <w:rsid w:val="003847C1"/>
    <w:rsid w:val="003862BE"/>
    <w:rsid w:val="0038647B"/>
    <w:rsid w:val="00386561"/>
    <w:rsid w:val="00386DF8"/>
    <w:rsid w:val="003872EB"/>
    <w:rsid w:val="00387986"/>
    <w:rsid w:val="00387C98"/>
    <w:rsid w:val="003906D3"/>
    <w:rsid w:val="00390FB3"/>
    <w:rsid w:val="00391048"/>
    <w:rsid w:val="00391089"/>
    <w:rsid w:val="003917E7"/>
    <w:rsid w:val="00391F1F"/>
    <w:rsid w:val="0039224D"/>
    <w:rsid w:val="0039244A"/>
    <w:rsid w:val="003924EB"/>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532"/>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8C3"/>
    <w:rsid w:val="003A6AF1"/>
    <w:rsid w:val="003A6AF3"/>
    <w:rsid w:val="003A7162"/>
    <w:rsid w:val="003A71A9"/>
    <w:rsid w:val="003A75F6"/>
    <w:rsid w:val="003A7648"/>
    <w:rsid w:val="003A7674"/>
    <w:rsid w:val="003A76D0"/>
    <w:rsid w:val="003A7956"/>
    <w:rsid w:val="003A7C03"/>
    <w:rsid w:val="003A7EC6"/>
    <w:rsid w:val="003A7F30"/>
    <w:rsid w:val="003B0C31"/>
    <w:rsid w:val="003B0E78"/>
    <w:rsid w:val="003B0EAB"/>
    <w:rsid w:val="003B1249"/>
    <w:rsid w:val="003B12B2"/>
    <w:rsid w:val="003B18C3"/>
    <w:rsid w:val="003B1AB3"/>
    <w:rsid w:val="003B1ED2"/>
    <w:rsid w:val="003B251C"/>
    <w:rsid w:val="003B26F1"/>
    <w:rsid w:val="003B2FDE"/>
    <w:rsid w:val="003B3077"/>
    <w:rsid w:val="003B34D7"/>
    <w:rsid w:val="003B3C8D"/>
    <w:rsid w:val="003B42A8"/>
    <w:rsid w:val="003B42C5"/>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76C"/>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0E2"/>
    <w:rsid w:val="003D790C"/>
    <w:rsid w:val="003D7954"/>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501"/>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89D"/>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00"/>
    <w:rsid w:val="004012EA"/>
    <w:rsid w:val="0040178E"/>
    <w:rsid w:val="00401B79"/>
    <w:rsid w:val="00401C61"/>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5AC"/>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899"/>
    <w:rsid w:val="00426C90"/>
    <w:rsid w:val="00427C5E"/>
    <w:rsid w:val="00427F99"/>
    <w:rsid w:val="0043021A"/>
    <w:rsid w:val="0043093F"/>
    <w:rsid w:val="00430DE8"/>
    <w:rsid w:val="004310C0"/>
    <w:rsid w:val="004310C2"/>
    <w:rsid w:val="00432429"/>
    <w:rsid w:val="0043259F"/>
    <w:rsid w:val="0043272F"/>
    <w:rsid w:val="0043278C"/>
    <w:rsid w:val="00432792"/>
    <w:rsid w:val="00432AFF"/>
    <w:rsid w:val="00432DFD"/>
    <w:rsid w:val="00433165"/>
    <w:rsid w:val="004333D9"/>
    <w:rsid w:val="004334FB"/>
    <w:rsid w:val="00433568"/>
    <w:rsid w:val="00433591"/>
    <w:rsid w:val="00433CA5"/>
    <w:rsid w:val="00433CC4"/>
    <w:rsid w:val="004340F9"/>
    <w:rsid w:val="00434277"/>
    <w:rsid w:val="00434B38"/>
    <w:rsid w:val="00434EC9"/>
    <w:rsid w:val="00434F69"/>
    <w:rsid w:val="004350AB"/>
    <w:rsid w:val="004352CB"/>
    <w:rsid w:val="00435471"/>
    <w:rsid w:val="00435895"/>
    <w:rsid w:val="00435972"/>
    <w:rsid w:val="00436018"/>
    <w:rsid w:val="004364C5"/>
    <w:rsid w:val="00436FFD"/>
    <w:rsid w:val="0043746D"/>
    <w:rsid w:val="004374A3"/>
    <w:rsid w:val="0044020C"/>
    <w:rsid w:val="00440391"/>
    <w:rsid w:val="004408F7"/>
    <w:rsid w:val="00440E3D"/>
    <w:rsid w:val="004411FC"/>
    <w:rsid w:val="004413DB"/>
    <w:rsid w:val="00441F03"/>
    <w:rsid w:val="00442089"/>
    <w:rsid w:val="0044336E"/>
    <w:rsid w:val="00443683"/>
    <w:rsid w:val="00443688"/>
    <w:rsid w:val="00443731"/>
    <w:rsid w:val="00443B52"/>
    <w:rsid w:val="00443EA0"/>
    <w:rsid w:val="00444897"/>
    <w:rsid w:val="00444C8A"/>
    <w:rsid w:val="00444DC0"/>
    <w:rsid w:val="00445765"/>
    <w:rsid w:val="004459F4"/>
    <w:rsid w:val="004461B8"/>
    <w:rsid w:val="004468D0"/>
    <w:rsid w:val="00447514"/>
    <w:rsid w:val="0044788F"/>
    <w:rsid w:val="00447BA9"/>
    <w:rsid w:val="00447C6A"/>
    <w:rsid w:val="00447F68"/>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871"/>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8D4"/>
    <w:rsid w:val="0048391B"/>
    <w:rsid w:val="00483D36"/>
    <w:rsid w:val="00483E0F"/>
    <w:rsid w:val="0048450B"/>
    <w:rsid w:val="0048451F"/>
    <w:rsid w:val="0048457E"/>
    <w:rsid w:val="00484777"/>
    <w:rsid w:val="00484CFF"/>
    <w:rsid w:val="00484F36"/>
    <w:rsid w:val="004853BC"/>
    <w:rsid w:val="00485B1E"/>
    <w:rsid w:val="00485CFC"/>
    <w:rsid w:val="0048637C"/>
    <w:rsid w:val="00486889"/>
    <w:rsid w:val="004869AB"/>
    <w:rsid w:val="00486EC8"/>
    <w:rsid w:val="0048708F"/>
    <w:rsid w:val="004873EB"/>
    <w:rsid w:val="00487591"/>
    <w:rsid w:val="00487948"/>
    <w:rsid w:val="00487BA4"/>
    <w:rsid w:val="00487C8A"/>
    <w:rsid w:val="004900B8"/>
    <w:rsid w:val="004906F8"/>
    <w:rsid w:val="0049104E"/>
    <w:rsid w:val="00491D90"/>
    <w:rsid w:val="00491E06"/>
    <w:rsid w:val="0049217F"/>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742"/>
    <w:rsid w:val="004B2DD9"/>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810"/>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42E"/>
    <w:rsid w:val="004C5566"/>
    <w:rsid w:val="004C564A"/>
    <w:rsid w:val="004C6172"/>
    <w:rsid w:val="004C6286"/>
    <w:rsid w:val="004C6AC9"/>
    <w:rsid w:val="004C6C7B"/>
    <w:rsid w:val="004C6CD8"/>
    <w:rsid w:val="004C7062"/>
    <w:rsid w:val="004C75E3"/>
    <w:rsid w:val="004C7766"/>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AE4"/>
    <w:rsid w:val="004D3FC6"/>
    <w:rsid w:val="004D4354"/>
    <w:rsid w:val="004D4A67"/>
    <w:rsid w:val="004D4D0A"/>
    <w:rsid w:val="004D4D93"/>
    <w:rsid w:val="004D4E62"/>
    <w:rsid w:val="004D5298"/>
    <w:rsid w:val="004D53BF"/>
    <w:rsid w:val="004D5699"/>
    <w:rsid w:val="004D5836"/>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914"/>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624"/>
    <w:rsid w:val="004F5747"/>
    <w:rsid w:val="004F5E3C"/>
    <w:rsid w:val="004F5E4A"/>
    <w:rsid w:val="004F6116"/>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7B3"/>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08F"/>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1B7"/>
    <w:rsid w:val="005373B2"/>
    <w:rsid w:val="00537911"/>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17E2"/>
    <w:rsid w:val="00552035"/>
    <w:rsid w:val="00552054"/>
    <w:rsid w:val="0055243D"/>
    <w:rsid w:val="005525E0"/>
    <w:rsid w:val="00552D1E"/>
    <w:rsid w:val="00552D90"/>
    <w:rsid w:val="00552EF8"/>
    <w:rsid w:val="00552FBA"/>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2C"/>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48DB"/>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28C9"/>
    <w:rsid w:val="005A3227"/>
    <w:rsid w:val="005A34D5"/>
    <w:rsid w:val="005A35B1"/>
    <w:rsid w:val="005A389C"/>
    <w:rsid w:val="005A3DDB"/>
    <w:rsid w:val="005A3F60"/>
    <w:rsid w:val="005A46BF"/>
    <w:rsid w:val="005A494C"/>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B2D"/>
    <w:rsid w:val="005B0D10"/>
    <w:rsid w:val="005B0EFF"/>
    <w:rsid w:val="005B0F70"/>
    <w:rsid w:val="005B0F7B"/>
    <w:rsid w:val="005B106C"/>
    <w:rsid w:val="005B1738"/>
    <w:rsid w:val="005B1B28"/>
    <w:rsid w:val="005B1CD4"/>
    <w:rsid w:val="005B1E40"/>
    <w:rsid w:val="005B2244"/>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34"/>
    <w:rsid w:val="005C2896"/>
    <w:rsid w:val="005C37CB"/>
    <w:rsid w:val="005C39D5"/>
    <w:rsid w:val="005C3AB3"/>
    <w:rsid w:val="005C3C69"/>
    <w:rsid w:val="005C3DDA"/>
    <w:rsid w:val="005C3F88"/>
    <w:rsid w:val="005C4909"/>
    <w:rsid w:val="005C490F"/>
    <w:rsid w:val="005C4975"/>
    <w:rsid w:val="005C4E7B"/>
    <w:rsid w:val="005C4F7E"/>
    <w:rsid w:val="005C4F9B"/>
    <w:rsid w:val="005C538F"/>
    <w:rsid w:val="005C5BCC"/>
    <w:rsid w:val="005C6288"/>
    <w:rsid w:val="005C676D"/>
    <w:rsid w:val="005C6B1D"/>
    <w:rsid w:val="005C75F5"/>
    <w:rsid w:val="005C761D"/>
    <w:rsid w:val="005D0287"/>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5D8D"/>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6E84"/>
    <w:rsid w:val="005F76C2"/>
    <w:rsid w:val="005F7A19"/>
    <w:rsid w:val="005F7C91"/>
    <w:rsid w:val="005F7D66"/>
    <w:rsid w:val="005F7DD1"/>
    <w:rsid w:val="005F7DEF"/>
    <w:rsid w:val="005F7FDA"/>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6D00"/>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12A"/>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368"/>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3FF"/>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3F6"/>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C62"/>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86F"/>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6B4"/>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38F"/>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5C0E"/>
    <w:rsid w:val="0069648F"/>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9EC"/>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089"/>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2BB0"/>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C35"/>
    <w:rsid w:val="006D1D94"/>
    <w:rsid w:val="006D29A7"/>
    <w:rsid w:val="006D2B7D"/>
    <w:rsid w:val="006D2C73"/>
    <w:rsid w:val="006D2FF5"/>
    <w:rsid w:val="006D3107"/>
    <w:rsid w:val="006D350D"/>
    <w:rsid w:val="006D384A"/>
    <w:rsid w:val="006D3BEE"/>
    <w:rsid w:val="006D3BF7"/>
    <w:rsid w:val="006D3F96"/>
    <w:rsid w:val="006D4081"/>
    <w:rsid w:val="006D4798"/>
    <w:rsid w:val="006D4B74"/>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9CD"/>
    <w:rsid w:val="006E3F73"/>
    <w:rsid w:val="006E4210"/>
    <w:rsid w:val="006E43F4"/>
    <w:rsid w:val="006E48A1"/>
    <w:rsid w:val="006E492B"/>
    <w:rsid w:val="006E4983"/>
    <w:rsid w:val="006E4A0B"/>
    <w:rsid w:val="006E4A3C"/>
    <w:rsid w:val="006E4BC7"/>
    <w:rsid w:val="006E4CB7"/>
    <w:rsid w:val="006E4DC6"/>
    <w:rsid w:val="006E4F59"/>
    <w:rsid w:val="006E52DD"/>
    <w:rsid w:val="006E58FB"/>
    <w:rsid w:val="006E5A82"/>
    <w:rsid w:val="006E6587"/>
    <w:rsid w:val="006E6B1E"/>
    <w:rsid w:val="006E6B92"/>
    <w:rsid w:val="006E7148"/>
    <w:rsid w:val="006E7A34"/>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331C"/>
    <w:rsid w:val="00704077"/>
    <w:rsid w:val="007043CB"/>
    <w:rsid w:val="007043E1"/>
    <w:rsid w:val="00704752"/>
    <w:rsid w:val="007049A2"/>
    <w:rsid w:val="00704C26"/>
    <w:rsid w:val="00704E56"/>
    <w:rsid w:val="007051E9"/>
    <w:rsid w:val="0070587A"/>
    <w:rsid w:val="0070592C"/>
    <w:rsid w:val="00705B61"/>
    <w:rsid w:val="00705B83"/>
    <w:rsid w:val="00706468"/>
    <w:rsid w:val="007064A0"/>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7E3"/>
    <w:rsid w:val="007149C5"/>
    <w:rsid w:val="00714FE2"/>
    <w:rsid w:val="00715275"/>
    <w:rsid w:val="00715968"/>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9A1"/>
    <w:rsid w:val="00747B1A"/>
    <w:rsid w:val="00747E74"/>
    <w:rsid w:val="0075031E"/>
    <w:rsid w:val="00750866"/>
    <w:rsid w:val="00750DB4"/>
    <w:rsid w:val="00751176"/>
    <w:rsid w:val="007513CD"/>
    <w:rsid w:val="007515EA"/>
    <w:rsid w:val="007516F8"/>
    <w:rsid w:val="00751F7B"/>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57F"/>
    <w:rsid w:val="00763BE1"/>
    <w:rsid w:val="00763C34"/>
    <w:rsid w:val="007641C7"/>
    <w:rsid w:val="007651EF"/>
    <w:rsid w:val="007653A0"/>
    <w:rsid w:val="00765425"/>
    <w:rsid w:val="00765718"/>
    <w:rsid w:val="007659D7"/>
    <w:rsid w:val="00765A86"/>
    <w:rsid w:val="00765B7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6D"/>
    <w:rsid w:val="007727F9"/>
    <w:rsid w:val="00772C77"/>
    <w:rsid w:val="00772EA1"/>
    <w:rsid w:val="00772F04"/>
    <w:rsid w:val="00773419"/>
    <w:rsid w:val="00773504"/>
    <w:rsid w:val="007736B9"/>
    <w:rsid w:val="00773794"/>
    <w:rsid w:val="00773835"/>
    <w:rsid w:val="00773BA6"/>
    <w:rsid w:val="00773E84"/>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164"/>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2D7A"/>
    <w:rsid w:val="0079328B"/>
    <w:rsid w:val="00793760"/>
    <w:rsid w:val="007937FD"/>
    <w:rsid w:val="00793B5B"/>
    <w:rsid w:val="0079483A"/>
    <w:rsid w:val="0079485A"/>
    <w:rsid w:val="00794C8E"/>
    <w:rsid w:val="00794D98"/>
    <w:rsid w:val="007952F5"/>
    <w:rsid w:val="007954B4"/>
    <w:rsid w:val="0079557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A96"/>
    <w:rsid w:val="007B3DA8"/>
    <w:rsid w:val="007B3DE2"/>
    <w:rsid w:val="007B44AE"/>
    <w:rsid w:val="007B4AB0"/>
    <w:rsid w:val="007B4B59"/>
    <w:rsid w:val="007B4EE5"/>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CF7"/>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D93"/>
    <w:rsid w:val="007F7F95"/>
    <w:rsid w:val="0080030B"/>
    <w:rsid w:val="008003A7"/>
    <w:rsid w:val="0080074F"/>
    <w:rsid w:val="00800C2B"/>
    <w:rsid w:val="00800C42"/>
    <w:rsid w:val="00800F2A"/>
    <w:rsid w:val="008015EB"/>
    <w:rsid w:val="00802A2C"/>
    <w:rsid w:val="00802A86"/>
    <w:rsid w:val="00802C73"/>
    <w:rsid w:val="00802D3B"/>
    <w:rsid w:val="00802E45"/>
    <w:rsid w:val="008032B2"/>
    <w:rsid w:val="0080356F"/>
    <w:rsid w:val="00803787"/>
    <w:rsid w:val="00803AF6"/>
    <w:rsid w:val="00803B34"/>
    <w:rsid w:val="00803DB4"/>
    <w:rsid w:val="008041F4"/>
    <w:rsid w:val="008042B5"/>
    <w:rsid w:val="008056C2"/>
    <w:rsid w:val="0080575D"/>
    <w:rsid w:val="008057CA"/>
    <w:rsid w:val="00805C3C"/>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36F"/>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1AD"/>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98E"/>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5BCB"/>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C9C"/>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36D"/>
    <w:rsid w:val="00847483"/>
    <w:rsid w:val="00847C83"/>
    <w:rsid w:val="00847CD4"/>
    <w:rsid w:val="008505EC"/>
    <w:rsid w:val="00850917"/>
    <w:rsid w:val="00850B10"/>
    <w:rsid w:val="00850CB6"/>
    <w:rsid w:val="008510B1"/>
    <w:rsid w:val="00851714"/>
    <w:rsid w:val="008517AC"/>
    <w:rsid w:val="00851FCB"/>
    <w:rsid w:val="008520CA"/>
    <w:rsid w:val="0085245E"/>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08"/>
    <w:rsid w:val="008633FD"/>
    <w:rsid w:val="0086354E"/>
    <w:rsid w:val="0086357B"/>
    <w:rsid w:val="00863799"/>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1A8A"/>
    <w:rsid w:val="008821FC"/>
    <w:rsid w:val="008828B7"/>
    <w:rsid w:val="0088296C"/>
    <w:rsid w:val="00882C08"/>
    <w:rsid w:val="00883078"/>
    <w:rsid w:val="008834A0"/>
    <w:rsid w:val="00883BA7"/>
    <w:rsid w:val="00883CC0"/>
    <w:rsid w:val="00883E67"/>
    <w:rsid w:val="0088434F"/>
    <w:rsid w:val="00884669"/>
    <w:rsid w:val="00884B21"/>
    <w:rsid w:val="00884C13"/>
    <w:rsid w:val="00884E43"/>
    <w:rsid w:val="00884EBC"/>
    <w:rsid w:val="00884FF2"/>
    <w:rsid w:val="00885457"/>
    <w:rsid w:val="008855A0"/>
    <w:rsid w:val="00885672"/>
    <w:rsid w:val="008857A2"/>
    <w:rsid w:val="00885978"/>
    <w:rsid w:val="00886396"/>
    <w:rsid w:val="00887073"/>
    <w:rsid w:val="008870AB"/>
    <w:rsid w:val="008872FC"/>
    <w:rsid w:val="00887496"/>
    <w:rsid w:val="0088758B"/>
    <w:rsid w:val="00887615"/>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15"/>
    <w:rsid w:val="008A6766"/>
    <w:rsid w:val="008A7101"/>
    <w:rsid w:val="008A7567"/>
    <w:rsid w:val="008A77A0"/>
    <w:rsid w:val="008A77C2"/>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3BF7"/>
    <w:rsid w:val="008C4344"/>
    <w:rsid w:val="008C43D7"/>
    <w:rsid w:val="008C477C"/>
    <w:rsid w:val="008C4C35"/>
    <w:rsid w:val="008C4E2E"/>
    <w:rsid w:val="008C5851"/>
    <w:rsid w:val="008C5D79"/>
    <w:rsid w:val="008C6499"/>
    <w:rsid w:val="008C6D5F"/>
    <w:rsid w:val="008C6F52"/>
    <w:rsid w:val="008C706F"/>
    <w:rsid w:val="008C7127"/>
    <w:rsid w:val="008C748D"/>
    <w:rsid w:val="008C75E9"/>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77D"/>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7F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4902"/>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01E"/>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6B8"/>
    <w:rsid w:val="009258D5"/>
    <w:rsid w:val="00925DBF"/>
    <w:rsid w:val="00925F10"/>
    <w:rsid w:val="009263F7"/>
    <w:rsid w:val="00926931"/>
    <w:rsid w:val="00926DC7"/>
    <w:rsid w:val="00926ED5"/>
    <w:rsid w:val="00926F8D"/>
    <w:rsid w:val="00927005"/>
    <w:rsid w:val="0092778C"/>
    <w:rsid w:val="009277AA"/>
    <w:rsid w:val="00930048"/>
    <w:rsid w:val="009300CB"/>
    <w:rsid w:val="00930478"/>
    <w:rsid w:val="009309F5"/>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193"/>
    <w:rsid w:val="009361E8"/>
    <w:rsid w:val="009362FC"/>
    <w:rsid w:val="009363AE"/>
    <w:rsid w:val="0093692D"/>
    <w:rsid w:val="00937C1B"/>
    <w:rsid w:val="00940514"/>
    <w:rsid w:val="00940654"/>
    <w:rsid w:val="009407C4"/>
    <w:rsid w:val="00940C9D"/>
    <w:rsid w:val="009416E2"/>
    <w:rsid w:val="00941700"/>
    <w:rsid w:val="00941848"/>
    <w:rsid w:val="00941D99"/>
    <w:rsid w:val="0094248D"/>
    <w:rsid w:val="009429A7"/>
    <w:rsid w:val="00942ADB"/>
    <w:rsid w:val="00943657"/>
    <w:rsid w:val="00943B9E"/>
    <w:rsid w:val="00943DD6"/>
    <w:rsid w:val="00944319"/>
    <w:rsid w:val="00944449"/>
    <w:rsid w:val="00944691"/>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9A4"/>
    <w:rsid w:val="00947A15"/>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578"/>
    <w:rsid w:val="0095482E"/>
    <w:rsid w:val="0095529B"/>
    <w:rsid w:val="0095576B"/>
    <w:rsid w:val="00955D25"/>
    <w:rsid w:val="009563A8"/>
    <w:rsid w:val="00956D63"/>
    <w:rsid w:val="009572DB"/>
    <w:rsid w:val="00957E2A"/>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62"/>
    <w:rsid w:val="00967BA4"/>
    <w:rsid w:val="009705E3"/>
    <w:rsid w:val="009708CA"/>
    <w:rsid w:val="009711F5"/>
    <w:rsid w:val="009716F0"/>
    <w:rsid w:val="00972289"/>
    <w:rsid w:val="0097234E"/>
    <w:rsid w:val="0097291B"/>
    <w:rsid w:val="00972DAA"/>
    <w:rsid w:val="00972E8C"/>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3BD"/>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0E"/>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CDA"/>
    <w:rsid w:val="009C0FD1"/>
    <w:rsid w:val="009C17C0"/>
    <w:rsid w:val="009C1BCF"/>
    <w:rsid w:val="009C1C73"/>
    <w:rsid w:val="009C20FF"/>
    <w:rsid w:val="009C2581"/>
    <w:rsid w:val="009C27A2"/>
    <w:rsid w:val="009C2922"/>
    <w:rsid w:val="009C2BAA"/>
    <w:rsid w:val="009C2C9C"/>
    <w:rsid w:val="009C3275"/>
    <w:rsid w:val="009C347A"/>
    <w:rsid w:val="009C35DB"/>
    <w:rsid w:val="009C3DF3"/>
    <w:rsid w:val="009C40B4"/>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60E"/>
    <w:rsid w:val="009E68DE"/>
    <w:rsid w:val="009E698C"/>
    <w:rsid w:val="009E6BF7"/>
    <w:rsid w:val="009E6CD1"/>
    <w:rsid w:val="009E70EB"/>
    <w:rsid w:val="009E7217"/>
    <w:rsid w:val="009E7226"/>
    <w:rsid w:val="009E745A"/>
    <w:rsid w:val="009E76C8"/>
    <w:rsid w:val="009E7B67"/>
    <w:rsid w:val="009F006B"/>
    <w:rsid w:val="009F01A7"/>
    <w:rsid w:val="009F0808"/>
    <w:rsid w:val="009F0925"/>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DEB"/>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604"/>
    <w:rsid w:val="00A07BE2"/>
    <w:rsid w:val="00A07C8C"/>
    <w:rsid w:val="00A07FA8"/>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17A98"/>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07"/>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36D"/>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33"/>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D4"/>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1F72"/>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2C"/>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CE4"/>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3E4"/>
    <w:rsid w:val="00A934E6"/>
    <w:rsid w:val="00A9376A"/>
    <w:rsid w:val="00A93D61"/>
    <w:rsid w:val="00A948B7"/>
    <w:rsid w:val="00A94CE1"/>
    <w:rsid w:val="00A95078"/>
    <w:rsid w:val="00A9586D"/>
    <w:rsid w:val="00A958E0"/>
    <w:rsid w:val="00A95D03"/>
    <w:rsid w:val="00A962E9"/>
    <w:rsid w:val="00A96543"/>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04D"/>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4C9"/>
    <w:rsid w:val="00AB15A9"/>
    <w:rsid w:val="00AB15CC"/>
    <w:rsid w:val="00AB18C3"/>
    <w:rsid w:val="00AB1D66"/>
    <w:rsid w:val="00AB1ED1"/>
    <w:rsid w:val="00AB257D"/>
    <w:rsid w:val="00AB2E13"/>
    <w:rsid w:val="00AB3221"/>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4B3"/>
    <w:rsid w:val="00AD553E"/>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278"/>
    <w:rsid w:val="00AF24EC"/>
    <w:rsid w:val="00AF25E8"/>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AF7DCE"/>
    <w:rsid w:val="00B00521"/>
    <w:rsid w:val="00B0088E"/>
    <w:rsid w:val="00B00C33"/>
    <w:rsid w:val="00B011C5"/>
    <w:rsid w:val="00B01414"/>
    <w:rsid w:val="00B0163E"/>
    <w:rsid w:val="00B017E4"/>
    <w:rsid w:val="00B019A3"/>
    <w:rsid w:val="00B01EC6"/>
    <w:rsid w:val="00B01ECA"/>
    <w:rsid w:val="00B0211F"/>
    <w:rsid w:val="00B02611"/>
    <w:rsid w:val="00B02700"/>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5E0D"/>
    <w:rsid w:val="00B16AFB"/>
    <w:rsid w:val="00B16C6C"/>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731"/>
    <w:rsid w:val="00B35E73"/>
    <w:rsid w:val="00B35FE3"/>
    <w:rsid w:val="00B36381"/>
    <w:rsid w:val="00B364BD"/>
    <w:rsid w:val="00B3660B"/>
    <w:rsid w:val="00B367F7"/>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2F9"/>
    <w:rsid w:val="00B61B80"/>
    <w:rsid w:val="00B61C36"/>
    <w:rsid w:val="00B63988"/>
    <w:rsid w:val="00B63AF3"/>
    <w:rsid w:val="00B63B22"/>
    <w:rsid w:val="00B63E8A"/>
    <w:rsid w:val="00B640FD"/>
    <w:rsid w:val="00B645F8"/>
    <w:rsid w:val="00B64CE0"/>
    <w:rsid w:val="00B64E10"/>
    <w:rsid w:val="00B64F60"/>
    <w:rsid w:val="00B64F74"/>
    <w:rsid w:val="00B64FFD"/>
    <w:rsid w:val="00B65222"/>
    <w:rsid w:val="00B652E1"/>
    <w:rsid w:val="00B654CF"/>
    <w:rsid w:val="00B660F0"/>
    <w:rsid w:val="00B66902"/>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9ED"/>
    <w:rsid w:val="00B80E56"/>
    <w:rsid w:val="00B81DA0"/>
    <w:rsid w:val="00B81F6B"/>
    <w:rsid w:val="00B81F96"/>
    <w:rsid w:val="00B82081"/>
    <w:rsid w:val="00B82472"/>
    <w:rsid w:val="00B827C6"/>
    <w:rsid w:val="00B82D2D"/>
    <w:rsid w:val="00B82E1B"/>
    <w:rsid w:val="00B83442"/>
    <w:rsid w:val="00B8366C"/>
    <w:rsid w:val="00B83C7E"/>
    <w:rsid w:val="00B83F58"/>
    <w:rsid w:val="00B84404"/>
    <w:rsid w:val="00B84648"/>
    <w:rsid w:val="00B848F1"/>
    <w:rsid w:val="00B84943"/>
    <w:rsid w:val="00B84C12"/>
    <w:rsid w:val="00B84E29"/>
    <w:rsid w:val="00B8524E"/>
    <w:rsid w:val="00B85444"/>
    <w:rsid w:val="00B8545D"/>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8C"/>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6A12"/>
    <w:rsid w:val="00BA7047"/>
    <w:rsid w:val="00BA7335"/>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BCF"/>
    <w:rsid w:val="00BE0D08"/>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4742"/>
    <w:rsid w:val="00BE51A8"/>
    <w:rsid w:val="00BE5291"/>
    <w:rsid w:val="00BE543A"/>
    <w:rsid w:val="00BE55C7"/>
    <w:rsid w:val="00BE57F1"/>
    <w:rsid w:val="00BE5A23"/>
    <w:rsid w:val="00BE5FAD"/>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207"/>
    <w:rsid w:val="00C12BFC"/>
    <w:rsid w:val="00C12D4A"/>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A65"/>
    <w:rsid w:val="00C21BB4"/>
    <w:rsid w:val="00C21C0D"/>
    <w:rsid w:val="00C21CDA"/>
    <w:rsid w:val="00C21DFE"/>
    <w:rsid w:val="00C22256"/>
    <w:rsid w:val="00C227B2"/>
    <w:rsid w:val="00C23CF3"/>
    <w:rsid w:val="00C24909"/>
    <w:rsid w:val="00C24D7B"/>
    <w:rsid w:val="00C25062"/>
    <w:rsid w:val="00C25D21"/>
    <w:rsid w:val="00C25D8E"/>
    <w:rsid w:val="00C25DEE"/>
    <w:rsid w:val="00C26075"/>
    <w:rsid w:val="00C26649"/>
    <w:rsid w:val="00C2667D"/>
    <w:rsid w:val="00C27050"/>
    <w:rsid w:val="00C27132"/>
    <w:rsid w:val="00C271DE"/>
    <w:rsid w:val="00C27273"/>
    <w:rsid w:val="00C27505"/>
    <w:rsid w:val="00C27643"/>
    <w:rsid w:val="00C2797B"/>
    <w:rsid w:val="00C27D56"/>
    <w:rsid w:val="00C27DD0"/>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54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3D"/>
    <w:rsid w:val="00C43342"/>
    <w:rsid w:val="00C43502"/>
    <w:rsid w:val="00C438C4"/>
    <w:rsid w:val="00C43CB1"/>
    <w:rsid w:val="00C43EF4"/>
    <w:rsid w:val="00C43F37"/>
    <w:rsid w:val="00C44730"/>
    <w:rsid w:val="00C4479F"/>
    <w:rsid w:val="00C44DAA"/>
    <w:rsid w:val="00C45082"/>
    <w:rsid w:val="00C45453"/>
    <w:rsid w:val="00C45625"/>
    <w:rsid w:val="00C458E9"/>
    <w:rsid w:val="00C460B7"/>
    <w:rsid w:val="00C46887"/>
    <w:rsid w:val="00C46982"/>
    <w:rsid w:val="00C4708A"/>
    <w:rsid w:val="00C472EB"/>
    <w:rsid w:val="00C47363"/>
    <w:rsid w:val="00C47954"/>
    <w:rsid w:val="00C5009D"/>
    <w:rsid w:val="00C5068D"/>
    <w:rsid w:val="00C50BEF"/>
    <w:rsid w:val="00C50CA3"/>
    <w:rsid w:val="00C50DC2"/>
    <w:rsid w:val="00C51193"/>
    <w:rsid w:val="00C512C8"/>
    <w:rsid w:val="00C51D5B"/>
    <w:rsid w:val="00C5321E"/>
    <w:rsid w:val="00C53CF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0F5"/>
    <w:rsid w:val="00C6213C"/>
    <w:rsid w:val="00C62EEC"/>
    <w:rsid w:val="00C631DD"/>
    <w:rsid w:val="00C63879"/>
    <w:rsid w:val="00C63EA0"/>
    <w:rsid w:val="00C63F6F"/>
    <w:rsid w:val="00C64EA5"/>
    <w:rsid w:val="00C64F98"/>
    <w:rsid w:val="00C65244"/>
    <w:rsid w:val="00C652E9"/>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8AB"/>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A37"/>
    <w:rsid w:val="00C97B39"/>
    <w:rsid w:val="00C97E74"/>
    <w:rsid w:val="00C97F28"/>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87E"/>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2D84"/>
    <w:rsid w:val="00CC3660"/>
    <w:rsid w:val="00CC3CE9"/>
    <w:rsid w:val="00CC5026"/>
    <w:rsid w:val="00CC5414"/>
    <w:rsid w:val="00CC5488"/>
    <w:rsid w:val="00CC61D8"/>
    <w:rsid w:val="00CC650B"/>
    <w:rsid w:val="00CC6626"/>
    <w:rsid w:val="00CC67B7"/>
    <w:rsid w:val="00CC6992"/>
    <w:rsid w:val="00CC7346"/>
    <w:rsid w:val="00CC74C3"/>
    <w:rsid w:val="00CC75B8"/>
    <w:rsid w:val="00CC7EA2"/>
    <w:rsid w:val="00CD0327"/>
    <w:rsid w:val="00CD0891"/>
    <w:rsid w:val="00CD090C"/>
    <w:rsid w:val="00CD09ED"/>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06"/>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6EC5"/>
    <w:rsid w:val="00CF71D3"/>
    <w:rsid w:val="00CF72C7"/>
    <w:rsid w:val="00CF7E0D"/>
    <w:rsid w:val="00D00A06"/>
    <w:rsid w:val="00D00A48"/>
    <w:rsid w:val="00D00D36"/>
    <w:rsid w:val="00D01193"/>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5E"/>
    <w:rsid w:val="00D104CE"/>
    <w:rsid w:val="00D1080E"/>
    <w:rsid w:val="00D10942"/>
    <w:rsid w:val="00D10AA9"/>
    <w:rsid w:val="00D10DE9"/>
    <w:rsid w:val="00D10EEA"/>
    <w:rsid w:val="00D113C5"/>
    <w:rsid w:val="00D11498"/>
    <w:rsid w:val="00D12CCF"/>
    <w:rsid w:val="00D12EFB"/>
    <w:rsid w:val="00D13166"/>
    <w:rsid w:val="00D13231"/>
    <w:rsid w:val="00D138D0"/>
    <w:rsid w:val="00D13A7D"/>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6E5"/>
    <w:rsid w:val="00D178DD"/>
    <w:rsid w:val="00D20853"/>
    <w:rsid w:val="00D20ADB"/>
    <w:rsid w:val="00D20E48"/>
    <w:rsid w:val="00D2146F"/>
    <w:rsid w:val="00D22047"/>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6F5"/>
    <w:rsid w:val="00D33785"/>
    <w:rsid w:val="00D33CCE"/>
    <w:rsid w:val="00D34177"/>
    <w:rsid w:val="00D348FD"/>
    <w:rsid w:val="00D34C6C"/>
    <w:rsid w:val="00D35060"/>
    <w:rsid w:val="00D3522A"/>
    <w:rsid w:val="00D3525D"/>
    <w:rsid w:val="00D361FE"/>
    <w:rsid w:val="00D3698B"/>
    <w:rsid w:val="00D370FC"/>
    <w:rsid w:val="00D37EEF"/>
    <w:rsid w:val="00D402DD"/>
    <w:rsid w:val="00D403AD"/>
    <w:rsid w:val="00D405BE"/>
    <w:rsid w:val="00D40A07"/>
    <w:rsid w:val="00D40A3C"/>
    <w:rsid w:val="00D41162"/>
    <w:rsid w:val="00D41F95"/>
    <w:rsid w:val="00D426E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E0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360"/>
    <w:rsid w:val="00D6161F"/>
    <w:rsid w:val="00D61C10"/>
    <w:rsid w:val="00D61FEC"/>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5E15"/>
    <w:rsid w:val="00D6603D"/>
    <w:rsid w:val="00D66541"/>
    <w:rsid w:val="00D66677"/>
    <w:rsid w:val="00D66A32"/>
    <w:rsid w:val="00D66ECD"/>
    <w:rsid w:val="00D67161"/>
    <w:rsid w:val="00D6719E"/>
    <w:rsid w:val="00D67558"/>
    <w:rsid w:val="00D678F5"/>
    <w:rsid w:val="00D702BC"/>
    <w:rsid w:val="00D702EC"/>
    <w:rsid w:val="00D70511"/>
    <w:rsid w:val="00D715D6"/>
    <w:rsid w:val="00D7202E"/>
    <w:rsid w:val="00D724C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BC3"/>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978A7"/>
    <w:rsid w:val="00DA000A"/>
    <w:rsid w:val="00DA004A"/>
    <w:rsid w:val="00DA0420"/>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679"/>
    <w:rsid w:val="00DD0874"/>
    <w:rsid w:val="00DD0C95"/>
    <w:rsid w:val="00DD129A"/>
    <w:rsid w:val="00DD167D"/>
    <w:rsid w:val="00DD216B"/>
    <w:rsid w:val="00DD22C5"/>
    <w:rsid w:val="00DD2357"/>
    <w:rsid w:val="00DD241E"/>
    <w:rsid w:val="00DD26D8"/>
    <w:rsid w:val="00DD2B2E"/>
    <w:rsid w:val="00DD2BA6"/>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419"/>
    <w:rsid w:val="00DF296E"/>
    <w:rsid w:val="00DF29BF"/>
    <w:rsid w:val="00DF2C46"/>
    <w:rsid w:val="00DF313A"/>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42"/>
    <w:rsid w:val="00E00D80"/>
    <w:rsid w:val="00E00E2C"/>
    <w:rsid w:val="00E0193F"/>
    <w:rsid w:val="00E01987"/>
    <w:rsid w:val="00E01ACF"/>
    <w:rsid w:val="00E01C45"/>
    <w:rsid w:val="00E01D46"/>
    <w:rsid w:val="00E02286"/>
    <w:rsid w:val="00E02411"/>
    <w:rsid w:val="00E024DC"/>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0092"/>
    <w:rsid w:val="00E11913"/>
    <w:rsid w:val="00E11986"/>
    <w:rsid w:val="00E123A5"/>
    <w:rsid w:val="00E126D4"/>
    <w:rsid w:val="00E12A47"/>
    <w:rsid w:val="00E12A56"/>
    <w:rsid w:val="00E12D2E"/>
    <w:rsid w:val="00E12DC1"/>
    <w:rsid w:val="00E12ECF"/>
    <w:rsid w:val="00E1323E"/>
    <w:rsid w:val="00E13466"/>
    <w:rsid w:val="00E13960"/>
    <w:rsid w:val="00E139EF"/>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5E"/>
    <w:rsid w:val="00E20BE5"/>
    <w:rsid w:val="00E20D8B"/>
    <w:rsid w:val="00E21AA7"/>
    <w:rsid w:val="00E22640"/>
    <w:rsid w:val="00E22F30"/>
    <w:rsid w:val="00E23631"/>
    <w:rsid w:val="00E24CB1"/>
    <w:rsid w:val="00E24D55"/>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80C"/>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83A"/>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0FF5"/>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6F23"/>
    <w:rsid w:val="00E6710B"/>
    <w:rsid w:val="00E67259"/>
    <w:rsid w:val="00E67320"/>
    <w:rsid w:val="00E6750E"/>
    <w:rsid w:val="00E67C07"/>
    <w:rsid w:val="00E67C97"/>
    <w:rsid w:val="00E67CBC"/>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6DDE"/>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93F"/>
    <w:rsid w:val="00E91A29"/>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0BE0"/>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2D1"/>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1E6A"/>
    <w:rsid w:val="00ED20E9"/>
    <w:rsid w:val="00ED24B8"/>
    <w:rsid w:val="00ED24C0"/>
    <w:rsid w:val="00ED2A5C"/>
    <w:rsid w:val="00ED2CAA"/>
    <w:rsid w:val="00ED2DA2"/>
    <w:rsid w:val="00ED2E8C"/>
    <w:rsid w:val="00ED2F37"/>
    <w:rsid w:val="00ED398A"/>
    <w:rsid w:val="00ED3EDA"/>
    <w:rsid w:val="00ED3EF4"/>
    <w:rsid w:val="00ED3EFD"/>
    <w:rsid w:val="00ED47AE"/>
    <w:rsid w:val="00ED4C04"/>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0DA6"/>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925"/>
    <w:rsid w:val="00EF3CA6"/>
    <w:rsid w:val="00EF4460"/>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4CF6"/>
    <w:rsid w:val="00F0510E"/>
    <w:rsid w:val="00F05470"/>
    <w:rsid w:val="00F05800"/>
    <w:rsid w:val="00F0584C"/>
    <w:rsid w:val="00F058A6"/>
    <w:rsid w:val="00F05939"/>
    <w:rsid w:val="00F05F73"/>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AF4"/>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B11"/>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BF6"/>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72"/>
    <w:rsid w:val="00F648EC"/>
    <w:rsid w:val="00F648F3"/>
    <w:rsid w:val="00F64ADA"/>
    <w:rsid w:val="00F65036"/>
    <w:rsid w:val="00F653D9"/>
    <w:rsid w:val="00F6544E"/>
    <w:rsid w:val="00F657FE"/>
    <w:rsid w:val="00F66013"/>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305"/>
    <w:rsid w:val="00F7431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766"/>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848"/>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3F7"/>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29A1"/>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08"/>
    <w:rsid w:val="00FC3FCD"/>
    <w:rsid w:val="00FC4056"/>
    <w:rsid w:val="00FC4584"/>
    <w:rsid w:val="00FC4F4B"/>
    <w:rsid w:val="00FC551D"/>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42D"/>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1C8"/>
    <w:rsid w:val="00FD7289"/>
    <w:rsid w:val="00FD73FB"/>
    <w:rsid w:val="00FD7BD5"/>
    <w:rsid w:val="00FD7C35"/>
    <w:rsid w:val="00FD7CE9"/>
    <w:rsid w:val="00FE0373"/>
    <w:rsid w:val="00FE0638"/>
    <w:rsid w:val="00FE09BD"/>
    <w:rsid w:val="00FE0B61"/>
    <w:rsid w:val="00FE14B6"/>
    <w:rsid w:val="00FE16C9"/>
    <w:rsid w:val="00FE16FF"/>
    <w:rsid w:val="00FE1866"/>
    <w:rsid w:val="00FE1F76"/>
    <w:rsid w:val="00FE2260"/>
    <w:rsid w:val="00FE29BF"/>
    <w:rsid w:val="00FE3984"/>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B2"/>
    <w:rsid w:val="00FF50FF"/>
    <w:rsid w:val="00FF5192"/>
    <w:rsid w:val="00FF559E"/>
    <w:rsid w:val="00FF6015"/>
    <w:rsid w:val="00FF6482"/>
    <w:rsid w:val="00FF68CF"/>
    <w:rsid w:val="00FF6A43"/>
    <w:rsid w:val="00FF7099"/>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9"/>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10"/>
      </w:numPr>
      <w:ind w:left="1701" w:hanging="1701"/>
    </w:pPr>
  </w:style>
  <w:style w:type="character" w:styleId="PlaceholderText">
    <w:name w:val="Placeholder Text"/>
    <w:basedOn w:val="DefaultParagraphFont"/>
    <w:uiPriority w:val="99"/>
    <w:semiHidden/>
    <w:rsid w:val="00F770F9"/>
    <w:rPr>
      <w:color w:val="808080"/>
    </w:rPr>
  </w:style>
  <w:style w:type="paragraph" w:styleId="TableofFigures">
    <w:name w:val="table of figures"/>
    <w:basedOn w:val="Normal"/>
    <w:next w:val="Normal"/>
    <w:uiPriority w:val="99"/>
    <w:unhideWhenUsed/>
    <w:rsid w:val="00C6213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8203815">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cohdawireless.com/Portals/0/MK5_OBU_10122015.pdf"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2123</Words>
  <Characters>12104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2017-09-29T14:30:00Z</dcterms:created>
  <dcterms:modified xsi:type="dcterms:W3CDTF">2017-09-29T14:30:00Z</dcterms:modified>
</cp:coreProperties>
</file>